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60" w:line="240" w:lineRule="auto"/>
        <w:jc w:val="both"/>
        <w:rPr>
          <w:rFonts w:hint="default" w:eastAsia="宋体" w:cs="Arial"/>
          <w:b/>
          <w:color w:val="FFFFFF"/>
          <w:sz w:val="22"/>
          <w:szCs w:val="22"/>
          <w:lang w:val="en-US" w:eastAsia="zh-CN"/>
        </w:rPr>
      </w:pPr>
      <w:bookmarkStart w:id="5" w:name="_GoBack"/>
      <w:bookmarkEnd w:id="5"/>
      <w:bookmarkStart w:id="0" w:name="OLE_LINK2"/>
      <w:bookmarkStart w:id="1" w:name="OLE_LINK15"/>
      <w:bookmarkStart w:id="2" w:name="OLE_LINK16"/>
      <w:bookmarkStart w:id="3" w:name="OLE_LINK6"/>
      <w:bookmarkStart w:id="4" w:name="OLE_LINK1"/>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hint="eastAsia" w:eastAsia="宋体" w:cs="Arial"/>
          <w:b/>
          <w:sz w:val="22"/>
          <w:szCs w:val="22"/>
          <w:lang w:val="en-US" w:eastAsia="zh-CN"/>
        </w:rPr>
        <w:t>107bis-e</w:t>
      </w:r>
      <w:r>
        <w:rPr>
          <w:rFonts w:eastAsia="宋体" w:cs="Arial"/>
          <w:b/>
          <w:sz w:val="22"/>
          <w:szCs w:val="22"/>
          <w:lang w:val="en-US" w:eastAsia="zh-CN"/>
        </w:rPr>
        <w:tab/>
      </w:r>
      <w:r>
        <w:rPr>
          <w:rFonts w:eastAsia="宋体" w:cs="Arial"/>
          <w:b/>
          <w:sz w:val="22"/>
          <w:szCs w:val="22"/>
          <w:highlight w:val="none"/>
          <w:lang w:val="sv-SE" w:eastAsia="zh-CN"/>
        </w:rPr>
        <w:t>R1-</w:t>
      </w:r>
      <w:r>
        <w:rPr>
          <w:rFonts w:hint="eastAsia" w:eastAsia="宋体" w:cs="Arial"/>
          <w:b/>
          <w:sz w:val="22"/>
          <w:szCs w:val="22"/>
          <w:highlight w:val="none"/>
          <w:lang w:val="en-US" w:eastAsia="zh-CN"/>
        </w:rPr>
        <w:t>2200262</w:t>
      </w:r>
    </w:p>
    <w:p>
      <w:pPr>
        <w:pStyle w:val="94"/>
        <w:tabs>
          <w:tab w:val="right" w:pos="9270"/>
        </w:tabs>
        <w:spacing w:after="60" w:line="240" w:lineRule="auto"/>
        <w:ind w:right="134"/>
        <w:jc w:val="both"/>
        <w:rPr>
          <w:rFonts w:cs="Arial"/>
          <w:b/>
          <w:sz w:val="22"/>
          <w:szCs w:val="22"/>
          <w:lang w:val="en-US"/>
        </w:rPr>
      </w:pPr>
      <w:r>
        <w:rPr>
          <w:rFonts w:hint="eastAsia" w:eastAsia="宋体" w:cs="Arial"/>
          <w:b/>
          <w:bCs/>
          <w:sz w:val="22"/>
          <w:szCs w:val="22"/>
          <w:lang w:val="en-US" w:eastAsia="zh-CN"/>
        </w:rPr>
        <w:t>e-Meeting</w:t>
      </w:r>
      <w:r>
        <w:rPr>
          <w:rFonts w:eastAsia="宋体" w:cs="Arial"/>
          <w:b/>
          <w:bCs/>
          <w:sz w:val="22"/>
          <w:szCs w:val="22"/>
          <w:lang w:val="en-US" w:eastAsia="zh-CN"/>
        </w:rPr>
        <w:t>,</w:t>
      </w:r>
      <w:r>
        <w:rPr>
          <w:rFonts w:hint="eastAsia" w:eastAsia="宋体" w:cs="Arial"/>
          <w:b/>
          <w:bCs/>
          <w:sz w:val="22"/>
          <w:szCs w:val="22"/>
          <w:lang w:val="en-US" w:eastAsia="zh-CN"/>
        </w:rPr>
        <w:t xml:space="preserve"> January 17</w:t>
      </w:r>
      <w:r>
        <w:rPr>
          <w:rFonts w:hint="eastAsia" w:eastAsia="宋体" w:cs="Arial"/>
          <w:b/>
          <w:bCs/>
          <w:sz w:val="22"/>
          <w:szCs w:val="22"/>
          <w:vertAlign w:val="superscript"/>
          <w:lang w:val="en-US" w:eastAsia="zh-CN"/>
        </w:rPr>
        <w:t>th</w:t>
      </w:r>
      <w:r>
        <w:rPr>
          <w:rFonts w:hint="eastAsia" w:eastAsia="宋体" w:cs="Arial"/>
          <w:b/>
          <w:bCs/>
          <w:sz w:val="22"/>
          <w:szCs w:val="22"/>
          <w:lang w:val="en-US" w:eastAsia="zh-CN"/>
        </w:rPr>
        <w:t xml:space="preserve"> </w:t>
      </w:r>
      <w:r>
        <w:rPr>
          <w:rFonts w:eastAsia="宋体" w:cs="Arial"/>
          <w:b/>
          <w:bCs/>
          <w:sz w:val="22"/>
          <w:szCs w:val="22"/>
          <w:lang w:val="en-US" w:eastAsia="zh-CN"/>
        </w:rPr>
        <w:t xml:space="preserve">- </w:t>
      </w:r>
      <w:r>
        <w:rPr>
          <w:rFonts w:hint="eastAsia" w:eastAsia="宋体" w:cs="Arial"/>
          <w:b/>
          <w:bCs/>
          <w:sz w:val="22"/>
          <w:szCs w:val="22"/>
          <w:lang w:val="en-US" w:eastAsia="zh-CN"/>
        </w:rPr>
        <w:t>25</w:t>
      </w:r>
      <w:r>
        <w:rPr>
          <w:rFonts w:hint="eastAsia" w:eastAsia="宋体" w:cs="Arial"/>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hint="eastAsia" w:eastAsia="宋体" w:cs="Arial"/>
          <w:b/>
          <w:sz w:val="22"/>
          <w:szCs w:val="22"/>
          <w:lang w:val="en-US" w:eastAsia="zh-CN"/>
        </w:rPr>
        <w:t>22</w:t>
      </w:r>
    </w:p>
    <w:p>
      <w:pPr>
        <w:pStyle w:val="94"/>
        <w:tabs>
          <w:tab w:val="right" w:pos="9639"/>
        </w:tabs>
        <w:spacing w:after="60" w:line="240" w:lineRule="auto"/>
        <w:jc w:val="both"/>
        <w:rPr>
          <w:rFonts w:eastAsia="宋体" w:cs="Arial"/>
          <w:b/>
          <w:sz w:val="22"/>
          <w:szCs w:val="22"/>
          <w:lang w:val="sv-SE" w:eastAsia="zh-CN"/>
        </w:rPr>
      </w:pPr>
    </w:p>
    <w:p>
      <w:pPr>
        <w:pStyle w:val="20"/>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hint="eastAsia" w:cs="Arial"/>
          <w:sz w:val="22"/>
          <w:szCs w:val="22"/>
          <w:lang w:val="en-US" w:eastAsia="zh-CN"/>
        </w:rPr>
        <w:t>Remaining issues on the beam management for 52.6 to 71 GHz</w:t>
      </w:r>
    </w:p>
    <w:p>
      <w:pPr>
        <w:pStyle w:val="20"/>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20"/>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hint="eastAsia" w:cs="Arial"/>
          <w:sz w:val="22"/>
          <w:szCs w:val="22"/>
          <w:lang w:val="en-US" w:eastAsia="zh-CN"/>
        </w:rPr>
        <w:t>8.2.4</w:t>
      </w:r>
    </w:p>
    <w:p>
      <w:pPr>
        <w:pStyle w:val="20"/>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snapToGrid w:val="0"/>
        <w:spacing w:before="120" w:beforeLines="50" w:after="120" w:afterLines="50" w:line="240" w:lineRule="auto"/>
        <w:jc w:val="both"/>
        <w:rPr>
          <w:rFonts w:hint="default"/>
          <w:lang w:val="en-US" w:eastAsia="zh-CN"/>
        </w:rPr>
      </w:pPr>
      <w:r>
        <w:rPr>
          <w:rFonts w:hint="eastAsia" w:eastAsia="宋体"/>
          <w:lang w:val="en-US" w:eastAsia="zh-CN"/>
        </w:rPr>
        <w:t xml:space="preserve">At the last RAN1 meeting during Rel-17 </w:t>
      </w:r>
      <w:r>
        <w:rPr>
          <w:rFonts w:hint="eastAsia" w:eastAsia="宋体"/>
          <w:b w:val="0"/>
          <w:bCs w:val="0"/>
          <w:color w:val="000000"/>
          <w:lang w:val="en-US" w:eastAsia="zh-CN"/>
        </w:rPr>
        <w:t>NR_ext_to_71GHz</w:t>
      </w:r>
      <w:r>
        <w:rPr>
          <w:rFonts w:hint="eastAsia" w:eastAsia="宋体"/>
          <w:lang w:val="en-US" w:eastAsia="zh-CN"/>
        </w:rPr>
        <w:t xml:space="preserve"> WI phase, namely RAN1 #107 e-meeting, all formal RAN1 discussions on Rel-17 NR above 52.6GHz including beam management had been finished.</w:t>
      </w:r>
      <w:r>
        <w:rPr>
          <w:rFonts w:hint="eastAsia"/>
        </w:rPr>
        <w:t xml:space="preserve"> </w:t>
      </w:r>
      <w:r>
        <w:rPr>
          <w:rFonts w:hint="eastAsia" w:eastAsia="宋体"/>
          <w:lang w:val="en-US" w:eastAsia="zh-CN"/>
        </w:rPr>
        <w:t>After the meeting, t</w:t>
      </w:r>
      <w:r>
        <w:rPr>
          <w:rFonts w:hint="eastAsia"/>
        </w:rPr>
        <w:t>he initial versions of physical layer specifications</w:t>
      </w:r>
      <w:r>
        <w:rPr>
          <w:rFonts w:hint="eastAsia" w:eastAsia="宋体"/>
          <w:lang w:val="en-US" w:eastAsia="zh-CN"/>
        </w:rPr>
        <w:t xml:space="preserve"> </w:t>
      </w:r>
      <w:r>
        <w:rPr>
          <w:rFonts w:hint="eastAsia"/>
        </w:rPr>
        <w:t>38.21</w:t>
      </w:r>
      <w:r>
        <w:rPr>
          <w:rFonts w:hint="eastAsia" w:eastAsia="宋体"/>
          <w:lang w:val="en-US" w:eastAsia="zh-CN"/>
        </w:rPr>
        <w:t xml:space="preserve">1/212/213/214/215 and 37.213 containing Rel-17 NR feature above 52.6GHz </w:t>
      </w:r>
      <w:r>
        <w:rPr>
          <w:rFonts w:hint="eastAsia"/>
        </w:rPr>
        <w:t>were distributed, discussed</w:t>
      </w:r>
      <w:r>
        <w:rPr>
          <w:rFonts w:hint="eastAsia" w:eastAsia="宋体"/>
          <w:lang w:val="en-US" w:eastAsia="zh-CN"/>
        </w:rPr>
        <w:t xml:space="preserve"> and </w:t>
      </w:r>
      <w:r>
        <w:rPr>
          <w:rFonts w:hint="eastAsia"/>
        </w:rPr>
        <w:t>updated</w:t>
      </w:r>
      <w:r>
        <w:rPr>
          <w:rFonts w:hint="eastAsia" w:eastAsia="宋体"/>
          <w:lang w:val="en-US" w:eastAsia="zh-CN"/>
        </w:rPr>
        <w:t xml:space="preserve"> </w:t>
      </w:r>
      <w:r>
        <w:rPr>
          <w:rFonts w:hint="eastAsia"/>
        </w:rPr>
        <w:t>by email discussion</w:t>
      </w:r>
      <w:r>
        <w:rPr>
          <w:rFonts w:hint="eastAsia" w:eastAsia="宋体"/>
          <w:lang w:val="en-US" w:eastAsia="zh-CN"/>
        </w:rPr>
        <w:t xml:space="preserve">, and finally </w:t>
      </w:r>
      <w:r>
        <w:rPr>
          <w:rFonts w:hint="eastAsia"/>
        </w:rPr>
        <w:t xml:space="preserve">endorsed </w:t>
      </w:r>
      <w:r>
        <w:rPr>
          <w:rFonts w:hint="eastAsia" w:eastAsia="宋体"/>
          <w:lang w:val="en-US" w:eastAsia="zh-CN"/>
        </w:rPr>
        <w:t xml:space="preserve">at plenary RAN #94 meeting in Dec. 2021. </w:t>
      </w:r>
      <w:r>
        <w:rPr>
          <w:rFonts w:hint="eastAsia"/>
          <w:lang w:eastAsia="zh-CN"/>
        </w:rPr>
        <w:t xml:space="preserve">In this </w:t>
      </w:r>
      <w:r>
        <w:rPr>
          <w:lang w:eastAsia="zh-CN"/>
        </w:rPr>
        <w:t>contribution</w:t>
      </w:r>
      <w:r>
        <w:rPr>
          <w:rFonts w:hint="eastAsia"/>
          <w:lang w:eastAsia="zh-CN"/>
        </w:rPr>
        <w:t xml:space="preserve">, we provide our views on </w:t>
      </w:r>
      <w:r>
        <w:rPr>
          <w:rFonts w:hint="eastAsia"/>
          <w:lang w:val="en-US" w:eastAsia="zh-CN"/>
        </w:rPr>
        <w:t xml:space="preserve">maintenance of beam management for Rel-17 NR </w:t>
      </w:r>
      <w:r>
        <w:rPr>
          <w:rFonts w:hint="eastAsia" w:eastAsia="宋体"/>
          <w:lang w:val="en-US" w:eastAsia="zh-CN"/>
        </w:rPr>
        <w:t>above 52.6GHz.</w:t>
      </w:r>
    </w:p>
    <w:p>
      <w:pPr>
        <w:pStyle w:val="2"/>
        <w:spacing w:before="120" w:after="300" w:line="240" w:lineRule="auto"/>
        <w:ind w:left="448" w:hanging="448"/>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Discussion on beam management</w:t>
      </w:r>
    </w:p>
    <w:p>
      <w:pPr>
        <w:pStyle w:val="3"/>
        <w:numPr>
          <w:ilvl w:val="1"/>
          <w:numId w:val="0"/>
        </w:numPr>
        <w:snapToGrid w:val="0"/>
        <w:spacing w:after="240" w:line="260" w:lineRule="auto"/>
        <w:rPr>
          <w:rFonts w:ascii="Times New Roman" w:hAnsi="Times New Roman" w:eastAsia="宋体"/>
          <w:b/>
          <w:bCs w:val="0"/>
          <w:sz w:val="24"/>
          <w:szCs w:val="24"/>
          <w:lang w:val="en-US" w:eastAsia="zh-CN"/>
        </w:rPr>
      </w:pPr>
      <w:r>
        <w:rPr>
          <w:rFonts w:ascii="Times New Roman" w:hAnsi="Times New Roman"/>
          <w:b/>
          <w:bCs w:val="0"/>
          <w:sz w:val="24"/>
          <w:szCs w:val="24"/>
          <w:lang w:val="en-US"/>
        </w:rPr>
        <w:t xml:space="preserve">2.1 </w:t>
      </w:r>
      <w:r>
        <w:rPr>
          <w:rFonts w:ascii="Times New Roman" w:hAnsi="Times New Roman"/>
          <w:b/>
          <w:bCs w:val="0"/>
          <w:sz w:val="24"/>
          <w:szCs w:val="24"/>
          <w:lang w:val="en-US"/>
        </w:rPr>
        <w:tab/>
      </w:r>
      <w:r>
        <w:rPr>
          <w:rFonts w:hint="eastAsia" w:ascii="Times New Roman" w:hAnsi="Times New Roman" w:eastAsia="宋体"/>
          <w:b/>
          <w:bCs w:val="0"/>
          <w:sz w:val="24"/>
          <w:szCs w:val="24"/>
          <w:lang w:val="en-US" w:eastAsia="zh-CN"/>
        </w:rPr>
        <w:t>Timing associated with beam-based operation</w:t>
      </w:r>
    </w:p>
    <w:p>
      <w:pPr>
        <w:widowControl w:val="0"/>
        <w:spacing w:before="300" w:after="200" w:line="260" w:lineRule="auto"/>
        <w:jc w:val="both"/>
        <w:outlineLvl w:val="2"/>
        <w:rPr>
          <w:rFonts w:eastAsia="宋体"/>
          <w:b/>
          <w:bCs/>
          <w:sz w:val="22"/>
          <w:szCs w:val="22"/>
          <w:lang w:val="en-US" w:eastAsia="zh-CN"/>
        </w:rPr>
      </w:pPr>
      <w:r>
        <w:rPr>
          <w:rFonts w:eastAsia="宋体"/>
          <w:b/>
          <w:bCs/>
          <w:sz w:val="22"/>
          <w:szCs w:val="22"/>
          <w:lang w:val="en-US" w:eastAsia="zh-CN"/>
        </w:rPr>
        <w:t>2.1.</w:t>
      </w:r>
      <w:r>
        <w:rPr>
          <w:rFonts w:hint="eastAsia" w:eastAsia="宋体"/>
          <w:b/>
          <w:bCs/>
          <w:sz w:val="22"/>
          <w:szCs w:val="22"/>
          <w:lang w:val="en-US" w:eastAsia="zh-CN"/>
        </w:rPr>
        <w:t>1</w:t>
      </w:r>
      <w:r>
        <w:rPr>
          <w:rFonts w:eastAsia="宋体"/>
          <w:b/>
          <w:bCs/>
          <w:sz w:val="22"/>
          <w:szCs w:val="22"/>
          <w:lang w:val="en-US" w:eastAsia="zh-CN"/>
        </w:rPr>
        <w:t xml:space="preserve"> </w:t>
      </w:r>
      <w:r>
        <w:rPr>
          <w:rFonts w:ascii="Times New Roman" w:hAnsi="Times New Roman" w:eastAsia="宋体" w:cs="Times New Roman"/>
          <w:b/>
          <w:bCs/>
          <w:i/>
          <w:iCs/>
          <w:sz w:val="22"/>
          <w:szCs w:val="22"/>
          <w:lang w:val="en-US" w:eastAsia="zh-CN"/>
        </w:rPr>
        <w:t>maxNumberRxTxBeamSwitchDL</w:t>
      </w:r>
      <w:r>
        <w:rPr>
          <w:rFonts w:hint="eastAsia" w:ascii="Times New Roman" w:hAnsi="Times New Roman" w:eastAsia="宋体" w:cs="Times New Roman"/>
          <w:b/>
          <w:bCs/>
          <w:i/>
          <w:iCs/>
          <w:sz w:val="22"/>
          <w:szCs w:val="22"/>
          <w:lang w:val="en-US" w:eastAsia="zh-CN"/>
        </w:rPr>
        <w:t xml:space="preserve">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keepNext w:val="0"/>
              <w:keepLines w:val="0"/>
              <w:pageBreakBefore w:val="0"/>
              <w:widowControl/>
              <w:kinsoku/>
              <w:wordWrap/>
              <w:overflowPunct/>
              <w:topLinePunct w:val="0"/>
              <w:autoSpaceDE/>
              <w:autoSpaceDN/>
              <w:bidi w:val="0"/>
              <w:adjustRightInd/>
              <w:snapToGrid/>
              <w:spacing w:after="0" w:line="240" w:lineRule="auto"/>
              <w:textAlignment w:val="auto"/>
              <w:rPr>
                <w:lang w:eastAsia="zh-CN"/>
              </w:rPr>
            </w:pPr>
            <w:r>
              <w:rPr>
                <w:highlight w:val="green"/>
                <w:lang w:eastAsia="zh-CN"/>
              </w:rPr>
              <w:t>Agreement:</w:t>
            </w:r>
          </w:p>
          <w:p>
            <w:pPr>
              <w:keepNext w:val="0"/>
              <w:keepLines w:val="0"/>
              <w:pageBreakBefore w:val="0"/>
              <w:widowControl/>
              <w:numPr>
                <w:ilvl w:val="0"/>
                <w:numId w:val="11"/>
              </w:numPr>
              <w:kinsoku/>
              <w:wordWrap/>
              <w:overflowPunct/>
              <w:topLinePunct w:val="0"/>
              <w:autoSpaceDE/>
              <w:autoSpaceDN/>
              <w:bidi w:val="0"/>
              <w:adjustRightInd/>
              <w:snapToGrid/>
              <w:spacing w:after="0" w:line="240" w:lineRule="auto"/>
              <w:textAlignment w:val="auto"/>
              <w:rPr>
                <w:lang w:eastAsia="zh-CN"/>
              </w:rPr>
            </w:pPr>
            <w:r>
              <w:rPr>
                <w:lang w:eastAsia="zh-CN"/>
              </w:rPr>
              <w:t>Further study new parameter values for at least the following parameters:</w:t>
            </w:r>
          </w:p>
          <w:p>
            <w:pPr>
              <w:keepNext w:val="0"/>
              <w:keepLines w:val="0"/>
              <w:pageBreakBefore w:val="0"/>
              <w:widowControl/>
              <w:numPr>
                <w:ilvl w:val="1"/>
                <w:numId w:val="11"/>
              </w:numPr>
              <w:kinsoku/>
              <w:wordWrap/>
              <w:overflowPunct/>
              <w:topLinePunct w:val="0"/>
              <w:autoSpaceDE/>
              <w:autoSpaceDN/>
              <w:bidi w:val="0"/>
              <w:adjustRightInd/>
              <w:snapToGrid/>
              <w:spacing w:after="0" w:line="240" w:lineRule="auto"/>
              <w:textAlignment w:val="auto"/>
              <w:rPr>
                <w:lang w:eastAsia="zh-CN"/>
              </w:rPr>
            </w:pPr>
            <w:r>
              <w:rPr>
                <w:lang w:eastAsia="zh-CN"/>
              </w:rPr>
              <w:t>maxNumberRxTxBeamSwitchDL</w:t>
            </w:r>
          </w:p>
          <w:p>
            <w:pPr>
              <w:keepNext w:val="0"/>
              <w:keepLines w:val="0"/>
              <w:pageBreakBefore w:val="0"/>
              <w:widowControl/>
              <w:numPr>
                <w:ilvl w:val="1"/>
                <w:numId w:val="11"/>
              </w:numPr>
              <w:kinsoku/>
              <w:wordWrap/>
              <w:overflowPunct/>
              <w:topLinePunct w:val="0"/>
              <w:autoSpaceDE/>
              <w:autoSpaceDN/>
              <w:bidi w:val="0"/>
              <w:adjustRightInd/>
              <w:snapToGrid/>
              <w:spacing w:after="0" w:line="240" w:lineRule="auto"/>
              <w:textAlignment w:val="auto"/>
              <w:rPr>
                <w:rFonts w:hint="eastAsia" w:eastAsia="宋体"/>
                <w:b/>
                <w:bCs/>
                <w:i/>
                <w:iCs/>
                <w:sz w:val="20"/>
                <w:szCs w:val="20"/>
                <w:lang w:val="en-US" w:eastAsia="zh-CN"/>
              </w:rPr>
            </w:pPr>
            <w:r>
              <w:rPr>
                <w:rFonts w:hint="eastAsia"/>
                <w:lang w:val="en-US" w:eastAsia="zh-CN"/>
              </w:rPr>
              <w:t>...</w:t>
            </w:r>
          </w:p>
          <w:p>
            <w:pPr>
              <w:keepNext w:val="0"/>
              <w:keepLines w:val="0"/>
              <w:pageBreakBefore w:val="0"/>
              <w:widowControl/>
              <w:kinsoku/>
              <w:wordWrap/>
              <w:overflowPunct/>
              <w:topLinePunct w:val="0"/>
              <w:autoSpaceDE/>
              <w:autoSpaceDN/>
              <w:bidi w:val="0"/>
              <w:adjustRightInd/>
              <w:snapToGrid/>
              <w:spacing w:after="0" w:line="240" w:lineRule="auto"/>
              <w:textAlignment w:val="auto"/>
              <w:rPr>
                <w:rFonts w:hint="eastAsia" w:eastAsia="宋体"/>
                <w:b/>
                <w:bCs/>
                <w:i/>
                <w:iCs/>
                <w:sz w:val="20"/>
                <w:szCs w:val="20"/>
                <w:lang w:val="en-US" w:eastAsia="zh-CN"/>
              </w:rPr>
            </w:pPr>
          </w:p>
          <w:p>
            <w:pPr>
              <w:keepNext w:val="0"/>
              <w:keepLines w:val="0"/>
              <w:pageBreakBefore w:val="0"/>
              <w:widowControl/>
              <w:kinsoku/>
              <w:wordWrap/>
              <w:overflowPunct/>
              <w:topLinePunct w:val="0"/>
              <w:autoSpaceDE/>
              <w:autoSpaceDN/>
              <w:bidi w:val="0"/>
              <w:adjustRightInd/>
              <w:snapToGrid/>
              <w:spacing w:after="0" w:line="240" w:lineRule="auto"/>
              <w:textAlignment w:val="auto"/>
              <w:rPr>
                <w:iCs/>
              </w:rPr>
            </w:pPr>
            <w:r>
              <w:rPr>
                <w:iCs/>
                <w:highlight w:val="green"/>
              </w:rPr>
              <w:t>Agreement:</w:t>
            </w:r>
          </w:p>
          <w:p>
            <w:pPr>
              <w:keepNext w:val="0"/>
              <w:keepLines w:val="0"/>
              <w:pageBreakBefore w:val="0"/>
              <w:widowControl/>
              <w:kinsoku/>
              <w:wordWrap/>
              <w:overflowPunct/>
              <w:topLinePunct w:val="0"/>
              <w:autoSpaceDE/>
              <w:autoSpaceDN/>
              <w:bidi w:val="0"/>
              <w:adjustRightInd/>
              <w:snapToGrid/>
              <w:spacing w:after="0" w:line="240" w:lineRule="auto"/>
              <w:textAlignment w:val="auto"/>
              <w:rPr>
                <w:iCs/>
                <w:lang w:val="en-US"/>
              </w:rPr>
            </w:pPr>
            <w:r>
              <w:rPr>
                <w:iCs/>
                <w:lang w:val="en-US"/>
              </w:rPr>
              <w:t>For maxNumberRxTxBeamSwitchDL,</w:t>
            </w:r>
          </w:p>
          <w:p>
            <w:pPr>
              <w:keepNext w:val="0"/>
              <w:keepLines w:val="0"/>
              <w:pageBreakBefore w:val="0"/>
              <w:widowControl/>
              <w:numPr>
                <w:ilvl w:val="0"/>
                <w:numId w:val="12"/>
              </w:numPr>
              <w:kinsoku/>
              <w:wordWrap/>
              <w:overflowPunct/>
              <w:topLinePunct w:val="0"/>
              <w:autoSpaceDE/>
              <w:autoSpaceDN/>
              <w:bidi w:val="0"/>
              <w:adjustRightInd/>
              <w:snapToGrid/>
              <w:spacing w:after="0" w:line="240" w:lineRule="auto"/>
              <w:textAlignment w:val="auto"/>
              <w:rPr>
                <w:iCs/>
                <w:lang w:val="en-US"/>
              </w:rPr>
            </w:pPr>
            <w:r>
              <w:rPr>
                <w:iCs/>
                <w:lang w:val="en-US"/>
              </w:rPr>
              <w:t>Support at least 2 and 4 as candidate values for 480 kHz</w:t>
            </w:r>
          </w:p>
          <w:p>
            <w:pPr>
              <w:keepNext w:val="0"/>
              <w:keepLines w:val="0"/>
              <w:pageBreakBefore w:val="0"/>
              <w:widowControl/>
              <w:numPr>
                <w:ilvl w:val="1"/>
                <w:numId w:val="12"/>
              </w:numPr>
              <w:kinsoku/>
              <w:wordWrap/>
              <w:overflowPunct/>
              <w:topLinePunct w:val="0"/>
              <w:autoSpaceDE/>
              <w:autoSpaceDN/>
              <w:bidi w:val="0"/>
              <w:adjustRightInd/>
              <w:snapToGrid/>
              <w:spacing w:after="0" w:line="240" w:lineRule="auto"/>
              <w:textAlignment w:val="auto"/>
              <w:rPr>
                <w:iCs/>
                <w:lang w:val="en-US"/>
              </w:rPr>
            </w:pPr>
            <w:r>
              <w:rPr>
                <w:iCs/>
                <w:lang w:val="en-US"/>
              </w:rPr>
              <w:t>FFS: 7</w:t>
            </w:r>
          </w:p>
          <w:p>
            <w:pPr>
              <w:keepNext w:val="0"/>
              <w:keepLines w:val="0"/>
              <w:pageBreakBefore w:val="0"/>
              <w:widowControl/>
              <w:numPr>
                <w:ilvl w:val="0"/>
                <w:numId w:val="12"/>
              </w:numPr>
              <w:kinsoku/>
              <w:wordWrap/>
              <w:overflowPunct/>
              <w:topLinePunct w:val="0"/>
              <w:autoSpaceDE/>
              <w:autoSpaceDN/>
              <w:bidi w:val="0"/>
              <w:adjustRightInd/>
              <w:snapToGrid/>
              <w:spacing w:after="0" w:line="240" w:lineRule="auto"/>
              <w:textAlignment w:val="auto"/>
              <w:rPr>
                <w:iCs/>
                <w:lang w:val="en-US"/>
              </w:rPr>
            </w:pPr>
            <w:r>
              <w:rPr>
                <w:iCs/>
                <w:lang w:val="en-US"/>
              </w:rPr>
              <w:t>Support at least 2 as a candidate value for 960 kHz</w:t>
            </w:r>
          </w:p>
          <w:p>
            <w:pPr>
              <w:keepNext w:val="0"/>
              <w:keepLines w:val="0"/>
              <w:pageBreakBefore w:val="0"/>
              <w:widowControl/>
              <w:numPr>
                <w:ilvl w:val="1"/>
                <w:numId w:val="12"/>
              </w:numPr>
              <w:kinsoku/>
              <w:wordWrap/>
              <w:overflowPunct/>
              <w:topLinePunct w:val="0"/>
              <w:autoSpaceDE/>
              <w:autoSpaceDN/>
              <w:bidi w:val="0"/>
              <w:adjustRightInd/>
              <w:snapToGrid/>
              <w:spacing w:after="0" w:line="240" w:lineRule="auto"/>
              <w:textAlignment w:val="auto"/>
              <w:rPr>
                <w:iCs/>
                <w:lang w:val="en-US"/>
              </w:rPr>
            </w:pPr>
            <w:r>
              <w:rPr>
                <w:iCs/>
                <w:lang w:val="en-US"/>
              </w:rPr>
              <w:t>FFS: Support for additional candidate value(s) including 4</w:t>
            </w:r>
          </w:p>
          <w:p>
            <w:pPr>
              <w:keepNext w:val="0"/>
              <w:keepLines w:val="0"/>
              <w:pageBreakBefore w:val="0"/>
              <w:widowControl/>
              <w:kinsoku/>
              <w:wordWrap/>
              <w:overflowPunct/>
              <w:topLinePunct w:val="0"/>
              <w:autoSpaceDE/>
              <w:autoSpaceDN/>
              <w:bidi w:val="0"/>
              <w:adjustRightInd/>
              <w:snapToGrid/>
              <w:spacing w:after="0" w:line="240" w:lineRule="auto"/>
              <w:textAlignment w:val="auto"/>
              <w:rPr>
                <w:rFonts w:hint="eastAsia" w:eastAsia="宋体"/>
                <w:b/>
                <w:bCs/>
                <w:i/>
                <w:iCs/>
                <w:sz w:val="20"/>
                <w:szCs w:val="20"/>
                <w:lang w:val="en-US" w:eastAsia="zh-CN"/>
              </w:rPr>
            </w:pPr>
          </w:p>
          <w:p>
            <w:pPr>
              <w:keepNext w:val="0"/>
              <w:keepLines w:val="0"/>
              <w:pageBreakBefore w:val="0"/>
              <w:widowControl/>
              <w:kinsoku/>
              <w:wordWrap/>
              <w:overflowPunct/>
              <w:topLinePunct w:val="0"/>
              <w:autoSpaceDE/>
              <w:autoSpaceDN/>
              <w:bidi w:val="0"/>
              <w:adjustRightInd/>
              <w:snapToGrid/>
              <w:spacing w:after="0" w:line="240" w:lineRule="auto"/>
              <w:textAlignment w:val="auto"/>
              <w:rPr>
                <w:iCs/>
              </w:rPr>
            </w:pPr>
            <w:r>
              <w:rPr>
                <w:iCs/>
                <w:highlight w:val="green"/>
              </w:rPr>
              <w:t>Agreement:</w:t>
            </w:r>
          </w:p>
          <w:p>
            <w:pPr>
              <w:keepNext w:val="0"/>
              <w:keepLines w:val="0"/>
              <w:pageBreakBefore w:val="0"/>
              <w:widowControl/>
              <w:kinsoku/>
              <w:wordWrap/>
              <w:overflowPunct/>
              <w:topLinePunct w:val="0"/>
              <w:autoSpaceDE/>
              <w:autoSpaceDN/>
              <w:bidi w:val="0"/>
              <w:adjustRightInd/>
              <w:snapToGrid/>
              <w:spacing w:after="0" w:line="240" w:lineRule="auto"/>
              <w:textAlignment w:val="auto"/>
              <w:rPr>
                <w:iCs/>
                <w:lang w:val="en-US"/>
              </w:rPr>
            </w:pPr>
            <w:r>
              <w:rPr>
                <w:iCs/>
                <w:lang w:val="en-US"/>
              </w:rPr>
              <w:t>For maxNumberRxTxBeamSwitchDL,</w:t>
            </w:r>
          </w:p>
          <w:p>
            <w:pPr>
              <w:keepNext w:val="0"/>
              <w:keepLines w:val="0"/>
              <w:pageBreakBefore w:val="0"/>
              <w:widowControl/>
              <w:numPr>
                <w:ilvl w:val="0"/>
                <w:numId w:val="12"/>
              </w:numPr>
              <w:kinsoku/>
              <w:wordWrap/>
              <w:overflowPunct/>
              <w:topLinePunct w:val="0"/>
              <w:autoSpaceDE/>
              <w:autoSpaceDN/>
              <w:bidi w:val="0"/>
              <w:adjustRightInd/>
              <w:snapToGrid/>
              <w:spacing w:after="0" w:line="240" w:lineRule="auto"/>
              <w:textAlignment w:val="auto"/>
              <w:rPr>
                <w:iCs/>
                <w:lang w:val="en-US"/>
              </w:rPr>
            </w:pPr>
            <w:r>
              <w:rPr>
                <w:iCs/>
                <w:lang w:val="en-US"/>
              </w:rPr>
              <w:t>For 480 kHz, support 7 as a candidate value for 480 kHz in addition to the agreed candidate values 2 and 4</w:t>
            </w:r>
          </w:p>
          <w:p>
            <w:pPr>
              <w:keepNext w:val="0"/>
              <w:keepLines w:val="0"/>
              <w:pageBreakBefore w:val="0"/>
              <w:widowControl/>
              <w:numPr>
                <w:ilvl w:val="0"/>
                <w:numId w:val="12"/>
              </w:numPr>
              <w:kinsoku/>
              <w:wordWrap/>
              <w:overflowPunct/>
              <w:topLinePunct w:val="0"/>
              <w:autoSpaceDE/>
              <w:autoSpaceDN/>
              <w:bidi w:val="0"/>
              <w:adjustRightInd/>
              <w:snapToGrid/>
              <w:spacing w:after="0" w:line="240" w:lineRule="auto"/>
              <w:textAlignment w:val="auto"/>
              <w:rPr>
                <w:iCs/>
                <w:lang w:val="en-US"/>
              </w:rPr>
            </w:pPr>
            <w:r>
              <w:rPr>
                <w:iCs/>
                <w:lang w:val="en-US"/>
              </w:rPr>
              <w:t>For 960 kHz, support one of the following alternatives</w:t>
            </w:r>
          </w:p>
          <w:p>
            <w:pPr>
              <w:keepNext w:val="0"/>
              <w:keepLines w:val="0"/>
              <w:pageBreakBefore w:val="0"/>
              <w:widowControl/>
              <w:numPr>
                <w:ilvl w:val="1"/>
                <w:numId w:val="12"/>
              </w:numPr>
              <w:kinsoku/>
              <w:wordWrap/>
              <w:overflowPunct/>
              <w:topLinePunct w:val="0"/>
              <w:autoSpaceDE/>
              <w:autoSpaceDN/>
              <w:bidi w:val="0"/>
              <w:adjustRightInd/>
              <w:snapToGrid/>
              <w:spacing w:after="0" w:line="240" w:lineRule="auto"/>
              <w:textAlignment w:val="auto"/>
              <w:rPr>
                <w:iCs/>
                <w:lang w:val="en-US"/>
              </w:rPr>
            </w:pPr>
            <w:r>
              <w:rPr>
                <w:iCs/>
                <w:lang w:val="en-US"/>
              </w:rPr>
              <w:t>Alt-1: Support 1, 4 and [7] as candidate values for 960 kHz in addition to the agreed candidate values 2</w:t>
            </w:r>
          </w:p>
          <w:p>
            <w:pPr>
              <w:keepNext w:val="0"/>
              <w:keepLines w:val="0"/>
              <w:pageBreakBefore w:val="0"/>
              <w:widowControl/>
              <w:numPr>
                <w:ilvl w:val="1"/>
                <w:numId w:val="12"/>
              </w:numPr>
              <w:kinsoku/>
              <w:wordWrap/>
              <w:overflowPunct/>
              <w:topLinePunct w:val="0"/>
              <w:autoSpaceDE/>
              <w:autoSpaceDN/>
              <w:bidi w:val="0"/>
              <w:adjustRightInd/>
              <w:snapToGrid/>
              <w:spacing w:after="0" w:line="240" w:lineRule="auto"/>
              <w:textAlignment w:val="auto"/>
              <w:rPr>
                <w:iCs/>
                <w:lang w:val="en-US"/>
              </w:rPr>
            </w:pPr>
            <w:r>
              <w:rPr>
                <w:iCs/>
                <w:lang w:val="en-US"/>
              </w:rPr>
              <w:t>Alt-2: Support 4 as a candidate value for 960 kHz in addition to the agreed candidate values 2</w:t>
            </w:r>
          </w:p>
          <w:p>
            <w:pPr>
              <w:keepNext w:val="0"/>
              <w:keepLines w:val="0"/>
              <w:pageBreakBefore w:val="0"/>
              <w:widowControl/>
              <w:numPr>
                <w:ilvl w:val="0"/>
                <w:numId w:val="12"/>
              </w:numPr>
              <w:kinsoku/>
              <w:wordWrap/>
              <w:overflowPunct/>
              <w:topLinePunct w:val="0"/>
              <w:autoSpaceDE/>
              <w:autoSpaceDN/>
              <w:bidi w:val="0"/>
              <w:adjustRightInd/>
              <w:snapToGrid/>
              <w:spacing w:after="0" w:line="240" w:lineRule="auto"/>
              <w:textAlignment w:val="auto"/>
              <w:rPr>
                <w:iCs/>
                <w:lang w:val="en-US"/>
              </w:rPr>
            </w:pPr>
            <w:r>
              <w:rPr>
                <w:iCs/>
                <w:lang w:val="en-US"/>
              </w:rPr>
              <w:t>No additional candidate values are supported</w:t>
            </w:r>
          </w:p>
          <w:p>
            <w:pPr>
              <w:keepNext w:val="0"/>
              <w:keepLines w:val="0"/>
              <w:pageBreakBefore w:val="0"/>
              <w:widowControl/>
              <w:kinsoku/>
              <w:wordWrap/>
              <w:overflowPunct/>
              <w:topLinePunct w:val="0"/>
              <w:autoSpaceDE/>
              <w:autoSpaceDN/>
              <w:bidi w:val="0"/>
              <w:adjustRightInd/>
              <w:snapToGrid/>
              <w:spacing w:after="0" w:line="240" w:lineRule="auto"/>
              <w:textAlignment w:val="auto"/>
              <w:rPr>
                <w:rFonts w:hint="eastAsia" w:eastAsia="宋体"/>
                <w:b/>
                <w:bCs/>
                <w:i/>
                <w:iCs/>
                <w:sz w:val="20"/>
                <w:szCs w:val="20"/>
                <w:lang w:val="en-US" w:eastAsia="zh-CN"/>
              </w:rPr>
            </w:pPr>
          </w:p>
          <w:p>
            <w:pPr>
              <w:keepNext w:val="0"/>
              <w:keepLines w:val="0"/>
              <w:pageBreakBefore w:val="0"/>
              <w:widowControl/>
              <w:kinsoku/>
              <w:wordWrap/>
              <w:overflowPunct/>
              <w:topLinePunct w:val="0"/>
              <w:autoSpaceDE/>
              <w:autoSpaceDN/>
              <w:bidi w:val="0"/>
              <w:adjustRightInd/>
              <w:snapToGrid/>
              <w:spacing w:after="0" w:line="240" w:lineRule="auto"/>
              <w:textAlignment w:val="auto"/>
              <w:rPr>
                <w:iCs/>
              </w:rPr>
            </w:pPr>
            <w:r>
              <w:rPr>
                <w:iCs/>
                <w:highlight w:val="green"/>
              </w:rPr>
              <w:t>Agreement:</w:t>
            </w:r>
          </w:p>
          <w:p>
            <w:pPr>
              <w:keepNext w:val="0"/>
              <w:keepLines w:val="0"/>
              <w:pageBreakBefore w:val="0"/>
              <w:widowControl/>
              <w:kinsoku/>
              <w:wordWrap/>
              <w:overflowPunct/>
              <w:topLinePunct w:val="0"/>
              <w:autoSpaceDE/>
              <w:autoSpaceDN/>
              <w:bidi w:val="0"/>
              <w:adjustRightInd/>
              <w:snapToGrid/>
              <w:spacing w:after="0" w:line="240" w:lineRule="auto"/>
              <w:textAlignment w:val="auto"/>
              <w:rPr>
                <w:iCs/>
              </w:rPr>
            </w:pPr>
            <w:r>
              <w:rPr>
                <w:iCs/>
              </w:rPr>
              <w:t>For maxNumberRxTxBeamSwitchDL, support 1, 4 and 7 as candidate values for 960 kHz in addition to the agreed candidate value 2.</w:t>
            </w:r>
          </w:p>
          <w:p>
            <w:pPr>
              <w:keepNext w:val="0"/>
              <w:keepLines w:val="0"/>
              <w:pageBreakBefore w:val="0"/>
              <w:widowControl/>
              <w:numPr>
                <w:ilvl w:val="0"/>
                <w:numId w:val="13"/>
              </w:numPr>
              <w:kinsoku/>
              <w:wordWrap/>
              <w:overflowPunct/>
              <w:topLinePunct w:val="0"/>
              <w:autoSpaceDE/>
              <w:autoSpaceDN/>
              <w:bidi w:val="0"/>
              <w:adjustRightInd/>
              <w:snapToGrid/>
              <w:spacing w:after="0" w:line="240" w:lineRule="auto"/>
              <w:textAlignment w:val="auto"/>
              <w:rPr>
                <w:rFonts w:hint="eastAsia" w:eastAsia="宋体"/>
                <w:color w:val="000000"/>
                <w:vertAlign w:val="baseline"/>
                <w:lang w:val="en-US" w:eastAsia="zh-CN"/>
              </w:rPr>
            </w:pPr>
            <w:r>
              <w:rPr>
                <w:iCs/>
              </w:rPr>
              <w:t>Note: this is Alt-1 from the RAN1#106 agreement.</w:t>
            </w:r>
          </w:p>
        </w:tc>
      </w:tr>
    </w:tbl>
    <w:p>
      <w:pPr>
        <w:keepNext w:val="0"/>
        <w:keepLines w:val="0"/>
        <w:pageBreakBefore w:val="0"/>
        <w:widowControl/>
        <w:kinsoku/>
        <w:wordWrap/>
        <w:overflowPunct/>
        <w:topLinePunct w:val="0"/>
        <w:autoSpaceDE/>
        <w:autoSpaceDN/>
        <w:bidi w:val="0"/>
        <w:adjustRightInd/>
        <w:snapToGrid/>
        <w:spacing w:after="0" w:line="240" w:lineRule="auto"/>
        <w:jc w:val="both"/>
        <w:textAlignment w:val="auto"/>
        <w:rPr>
          <w:rFonts w:hint="eastAsia" w:eastAsia="宋体"/>
          <w:b w:val="0"/>
          <w:bCs w:val="0"/>
          <w:color w:val="000000"/>
          <w:lang w:val="en-US" w:eastAsia="zh-CN"/>
        </w:rPr>
      </w:pPr>
    </w:p>
    <w:p>
      <w:pPr>
        <w:jc w:val="both"/>
        <w:rPr>
          <w:rFonts w:hint="eastAsia" w:eastAsia="宋体"/>
          <w:b w:val="0"/>
          <w:bCs w:val="0"/>
          <w:i w:val="0"/>
          <w:iCs w:val="0"/>
          <w:sz w:val="20"/>
          <w:szCs w:val="20"/>
          <w:lang w:val="en-US" w:eastAsia="zh-CN"/>
        </w:rPr>
      </w:pPr>
      <w:r>
        <w:rPr>
          <w:rFonts w:hint="eastAsia" w:eastAsia="宋体"/>
          <w:b w:val="0"/>
          <w:bCs w:val="0"/>
          <w:color w:val="000000"/>
          <w:lang w:val="en-US" w:eastAsia="zh-CN"/>
        </w:rPr>
        <w:t xml:space="preserve">All the agreements related to </w:t>
      </w:r>
      <w:r>
        <w:rPr>
          <w:b w:val="0"/>
          <w:bCs w:val="0"/>
          <w:i/>
          <w:iCs w:val="0"/>
        </w:rPr>
        <w:t>maxNumberRxTxBeamSwitchDL</w:t>
      </w:r>
      <w:r>
        <w:rPr>
          <w:rFonts w:hint="eastAsia" w:eastAsia="宋体"/>
          <w:b w:val="0"/>
          <w:bCs w:val="0"/>
          <w:i/>
          <w:iCs w:val="0"/>
          <w:lang w:val="en-US" w:eastAsia="zh-CN"/>
        </w:rPr>
        <w:t xml:space="preserve"> </w:t>
      </w:r>
      <w:r>
        <w:rPr>
          <w:rFonts w:hint="eastAsia" w:eastAsia="宋体"/>
          <w:b w:val="0"/>
          <w:bCs w:val="0"/>
          <w:color w:val="000000"/>
          <w:lang w:val="en-US" w:eastAsia="zh-CN"/>
        </w:rPr>
        <w:t xml:space="preserve">we reached in RAN1 e-meetings during NR_ext_to_71GHz WI phase are copied in the table above. For </w:t>
      </w:r>
      <w:r>
        <w:rPr>
          <w:rFonts w:hint="eastAsia" w:eastAsia="宋体"/>
          <w:b w:val="0"/>
          <w:bCs w:val="0"/>
          <w:i/>
          <w:iCs/>
          <w:sz w:val="20"/>
          <w:szCs w:val="20"/>
          <w:lang w:val="en-US" w:eastAsia="zh-CN"/>
        </w:rPr>
        <w:t>timeDurationForQCL</w:t>
      </w:r>
      <w:r>
        <w:rPr>
          <w:rFonts w:hint="eastAsia" w:eastAsia="宋体"/>
          <w:b w:val="0"/>
          <w:bCs w:val="0"/>
          <w:i w:val="0"/>
          <w:iCs w:val="0"/>
          <w:sz w:val="20"/>
          <w:szCs w:val="20"/>
          <w:lang w:val="en-US" w:eastAsia="zh-CN"/>
        </w:rPr>
        <w:t xml:space="preserve">, </w:t>
      </w:r>
      <w:r>
        <w:rPr>
          <w:rFonts w:hint="eastAsia" w:eastAsia="宋体"/>
          <w:b w:val="0"/>
          <w:bCs w:val="0"/>
          <w:i/>
          <w:iCs/>
          <w:sz w:val="20"/>
          <w:szCs w:val="20"/>
          <w:lang w:val="en-US" w:eastAsia="zh-CN"/>
        </w:rPr>
        <w:t xml:space="preserve">beamSwitchTiming </w:t>
      </w:r>
      <w:r>
        <w:rPr>
          <w:rFonts w:hint="eastAsia" w:eastAsia="宋体"/>
          <w:b w:val="0"/>
          <w:bCs w:val="0"/>
          <w:i w:val="0"/>
          <w:iCs w:val="0"/>
          <w:sz w:val="20"/>
          <w:szCs w:val="20"/>
          <w:lang w:val="en-US" w:eastAsia="zh-CN"/>
        </w:rPr>
        <w:t xml:space="preserve">and </w:t>
      </w:r>
      <w:r>
        <w:rPr>
          <w:rFonts w:hint="eastAsia" w:eastAsia="宋体"/>
          <w:b w:val="0"/>
          <w:bCs w:val="0"/>
          <w:i/>
          <w:iCs/>
          <w:sz w:val="20"/>
          <w:szCs w:val="20"/>
          <w:lang w:val="en-US" w:eastAsia="zh-CN"/>
        </w:rPr>
        <w:t>beamReportTiming</w:t>
      </w:r>
      <w:r>
        <w:rPr>
          <w:rFonts w:hint="eastAsia" w:eastAsia="宋体"/>
          <w:b w:val="0"/>
          <w:bCs w:val="0"/>
          <w:i w:val="0"/>
          <w:iCs w:val="0"/>
          <w:sz w:val="20"/>
          <w:szCs w:val="20"/>
          <w:lang w:val="en-US" w:eastAsia="zh-CN"/>
        </w:rPr>
        <w:t xml:space="preserve">, RAN1 has explicitly agreed to reuse candidate values of 120 kHz in FR2-1 for 120 kHz in FR2-2. However, for </w:t>
      </w:r>
      <w:r>
        <w:rPr>
          <w:i/>
          <w:iCs w:val="0"/>
        </w:rPr>
        <w:t>maxNumberRxTxBeamSwitchDL</w:t>
      </w:r>
      <w:r>
        <w:rPr>
          <w:rFonts w:hint="eastAsia" w:eastAsia="宋体"/>
          <w:iCs/>
          <w:lang w:val="en-US" w:eastAsia="zh-CN"/>
        </w:rPr>
        <w:t>, so far RAN1 has not reached any agreement/conclusion on candidate values of 120 kHz in FR2-2. Thus RAN1 should agree to support reusing</w:t>
      </w:r>
      <w:r>
        <w:rPr>
          <w:rFonts w:hint="eastAsia" w:eastAsia="宋体"/>
          <w:b w:val="0"/>
          <w:bCs w:val="0"/>
          <w:i w:val="0"/>
          <w:iCs w:val="0"/>
          <w:sz w:val="20"/>
          <w:szCs w:val="20"/>
          <w:lang w:val="en-US" w:eastAsia="zh-CN"/>
        </w:rPr>
        <w:t xml:space="preserve"> candidate values of 120 kHz in FR2-1 for 120 kHz in FR2-2. </w:t>
      </w:r>
    </w:p>
    <w:p>
      <w:pPr>
        <w:keepNext w:val="0"/>
        <w:keepLines w:val="0"/>
        <w:pageBreakBefore w:val="0"/>
        <w:widowControl/>
        <w:kinsoku/>
        <w:wordWrap/>
        <w:overflowPunct/>
        <w:topLinePunct w:val="0"/>
        <w:autoSpaceDE/>
        <w:autoSpaceDN/>
        <w:bidi w:val="0"/>
        <w:adjustRightInd/>
        <w:snapToGrid/>
        <w:spacing w:before="180" w:beforeLines="0" w:after="0" w:line="260" w:lineRule="auto"/>
        <w:jc w:val="both"/>
        <w:textAlignment w:val="auto"/>
        <w:rPr>
          <w:rFonts w:hint="eastAsia" w:eastAsia="宋体"/>
          <w:b/>
          <w:bCs/>
          <w:lang w:val="en-US" w:eastAsia="zh-CN"/>
        </w:rPr>
      </w:pPr>
      <w:r>
        <w:rPr>
          <w:b/>
          <w:bCs/>
          <w:lang w:val="en-US" w:eastAsia="zh-CN"/>
        </w:rPr>
        <w:t xml:space="preserve">Proposal </w:t>
      </w:r>
      <w:r>
        <w:rPr>
          <w:rFonts w:hint="eastAsia"/>
          <w:b/>
          <w:bCs/>
          <w:lang w:val="en-US" w:eastAsia="zh-CN"/>
        </w:rPr>
        <w:t xml:space="preserve">1: For </w:t>
      </w:r>
      <w:r>
        <w:rPr>
          <w:b/>
          <w:bCs/>
          <w:i/>
          <w:iCs w:val="0"/>
          <w:lang w:val="en-US"/>
        </w:rPr>
        <w:t>maxNumberRxTxBeamSwitchDL</w:t>
      </w:r>
      <w:r>
        <w:rPr>
          <w:rFonts w:hint="eastAsia"/>
          <w:b/>
          <w:bCs/>
          <w:lang w:val="en-US" w:eastAsia="zh-CN"/>
        </w:rPr>
        <w:t>, RAN1 should support to reuse the following candidate values of 120 kHz in FR2-1 for 120 kHz in FR2-2</w:t>
      </w:r>
      <w:r>
        <w:rPr>
          <w:rFonts w:hint="eastAsia" w:eastAsia="宋体"/>
          <w:b/>
          <w:bCs/>
          <w:lang w:val="en-US" w:eastAsia="zh-CN"/>
        </w:rPr>
        <w:t>.</w:t>
      </w:r>
    </w:p>
    <w:p>
      <w:pPr>
        <w:pStyle w:val="125"/>
        <w:numPr>
          <w:ilvl w:val="0"/>
          <w:numId w:val="14"/>
        </w:numPr>
        <w:rPr>
          <w:b/>
          <w:bCs/>
          <w:sz w:val="21"/>
          <w:szCs w:val="21"/>
        </w:rPr>
      </w:pPr>
      <w:r>
        <w:rPr>
          <w:rFonts w:hint="eastAsia" w:eastAsia="宋体"/>
          <w:b/>
          <w:bCs/>
          <w:sz w:val="21"/>
          <w:szCs w:val="21"/>
          <w:lang w:val="en-US" w:eastAsia="zh-CN"/>
        </w:rPr>
        <w:t>4, 7, 14</w:t>
      </w:r>
    </w:p>
    <w:p>
      <w:pPr>
        <w:widowControl w:val="0"/>
        <w:spacing w:before="300" w:after="200" w:line="260" w:lineRule="auto"/>
        <w:jc w:val="both"/>
        <w:outlineLvl w:val="2"/>
        <w:rPr>
          <w:rFonts w:hint="eastAsia" w:eastAsia="宋体"/>
          <w:color w:val="000000"/>
          <w:lang w:val="en-US" w:eastAsia="zh-CN"/>
        </w:rPr>
      </w:pPr>
      <w:r>
        <w:rPr>
          <w:rFonts w:eastAsia="宋体"/>
          <w:b/>
          <w:bCs/>
          <w:sz w:val="22"/>
          <w:szCs w:val="22"/>
          <w:lang w:val="en-US" w:eastAsia="zh-CN"/>
        </w:rPr>
        <w:t>2.1.</w:t>
      </w:r>
      <w:r>
        <w:rPr>
          <w:rFonts w:hint="eastAsia" w:eastAsia="宋体"/>
          <w:b/>
          <w:bCs/>
          <w:sz w:val="22"/>
          <w:szCs w:val="22"/>
          <w:lang w:val="en-US" w:eastAsia="zh-CN"/>
        </w:rPr>
        <w:t>2</w:t>
      </w:r>
      <w:r>
        <w:rPr>
          <w:rFonts w:eastAsia="宋体"/>
          <w:b/>
          <w:bCs/>
          <w:sz w:val="22"/>
          <w:szCs w:val="22"/>
          <w:lang w:val="en-US" w:eastAsia="zh-CN"/>
        </w:rPr>
        <w:t xml:space="preserve"> </w:t>
      </w:r>
      <w:r>
        <w:rPr>
          <w:rFonts w:hint="eastAsia" w:eastAsia="宋体"/>
          <w:b/>
          <w:bCs/>
          <w:sz w:val="22"/>
          <w:szCs w:val="22"/>
          <w:lang w:val="en-US" w:eastAsia="zh-CN"/>
        </w:rPr>
        <w:t xml:space="preserve">SRS antenna </w:t>
      </w:r>
      <w:r>
        <w:rPr>
          <w:rFonts w:eastAsia="宋体"/>
          <w:b/>
          <w:bCs/>
          <w:sz w:val="22"/>
          <w:szCs w:val="22"/>
          <w:lang w:val="en-US" w:eastAsia="zh-CN"/>
        </w:rPr>
        <w:t>switching gap</w:t>
      </w:r>
    </w:p>
    <w:p>
      <w:pPr>
        <w:jc w:val="both"/>
        <w:rPr>
          <w:rFonts w:hint="eastAsia" w:eastAsia="宋体"/>
          <w:color w:val="000000"/>
          <w:lang w:val="en-US" w:eastAsia="zh-CN"/>
        </w:rPr>
      </w:pPr>
      <w:r>
        <w:rPr>
          <w:rFonts w:hint="eastAsia" w:eastAsia="宋体"/>
          <w:color w:val="000000"/>
          <w:lang w:val="en-US" w:eastAsia="zh-CN"/>
        </w:rPr>
        <w:t>For SRS antenna switching, t</w:t>
      </w:r>
      <w:r>
        <w:rPr>
          <w:color w:val="000000"/>
        </w:rPr>
        <w:t>he UE is configured with a guard period of Y symbols, in which the UE does not transmit any other signal, in the case the SRS resources of a set are transmitted in the same slot. The guard period is in-between the SRS re</w:t>
      </w:r>
      <w:r>
        <w:rPr>
          <w:rFonts w:hint="eastAsia" w:eastAsia="宋体"/>
          <w:color w:val="000000"/>
          <w:lang w:val="en-US" w:eastAsia="zh-CN"/>
        </w:rPr>
        <w:t xml:space="preserve">sources of the set. The minimum guard period </w:t>
      </w:r>
      <w:r>
        <w:rPr>
          <w:rFonts w:hint="eastAsia" w:eastAsia="宋体"/>
          <w:i w:val="0"/>
          <w:color w:val="000000"/>
          <w:lang w:val="en-US" w:eastAsia="zh-CN"/>
        </w:rPr>
        <w:t>Y</w:t>
      </w:r>
      <w:r>
        <w:rPr>
          <w:rFonts w:hint="eastAsia" w:eastAsia="宋体"/>
          <w:color w:val="000000"/>
          <w:lang w:val="en-US" w:eastAsia="zh-CN"/>
        </w:rPr>
        <w:t xml:space="preserve"> is defined </w:t>
      </w:r>
      <w:r>
        <w:rPr>
          <w:rFonts w:hint="eastAsia" w:eastAsia="宋体"/>
          <w:color w:val="000000"/>
          <w:sz w:val="20"/>
          <w:szCs w:val="20"/>
          <w:lang w:val="en-US" w:eastAsia="zh-CN"/>
        </w:rPr>
        <w:t xml:space="preserve">for each SCS from 15 kHz to 120 kHz </w:t>
      </w:r>
      <w:r>
        <w:rPr>
          <w:rFonts w:hint="eastAsia" w:eastAsia="宋体"/>
          <w:color w:val="000000"/>
          <w:lang w:val="en-US" w:eastAsia="zh-CN"/>
        </w:rPr>
        <w:t>by Table 6.2.1.2-1 in TS 38.214.</w:t>
      </w:r>
    </w:p>
    <w:p>
      <w:pPr>
        <w:pStyle w:val="75"/>
        <w:rPr>
          <w:rFonts w:hint="default" w:ascii="Times New Roman" w:hAnsi="Times New Roman" w:cs="Times New Roman"/>
        </w:rPr>
      </w:pPr>
      <w:r>
        <w:rPr>
          <w:rFonts w:hint="default" w:ascii="Times New Roman" w:hAnsi="Times New Roman" w:cs="Times New Roman"/>
        </w:rPr>
        <w:t xml:space="preserve">Table </w:t>
      </w:r>
      <w:r>
        <w:rPr>
          <w:rFonts w:hint="default" w:ascii="Times New Roman" w:hAnsi="Times New Roman" w:cs="Times New Roman"/>
          <w:lang w:eastAsia="zh-CN"/>
        </w:rPr>
        <w:t>6</w:t>
      </w:r>
      <w:r>
        <w:rPr>
          <w:rFonts w:hint="default" w:ascii="Times New Roman" w:hAnsi="Times New Roman" w:cs="Times New Roman"/>
        </w:rPr>
        <w:t>.2.1.2-1: The minimum guard period between two SRS resources of an SRS resource set for antenna switching</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vAlign w:val="center"/>
          </w:tcPr>
          <w:p>
            <w:pPr>
              <w:pStyle w:val="47"/>
              <w:rPr>
                <w:rFonts w:eastAsia="Batang"/>
                <w:lang w:val="en-GB"/>
              </w:rPr>
            </w:pPr>
            <w:r>
              <w:rPr>
                <w:rFonts w:eastAsia="Batang"/>
                <w:position w:val="-10"/>
                <w:lang w:val="en-GB"/>
              </w:rPr>
              <w:object>
                <v:shape id="_x0000_i1025" o:spt="75" type="#_x0000_t75" style="height:14.25pt;width:14.2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p>
        </w:tc>
        <w:tc>
          <w:tcPr>
            <w:tcW w:w="1843" w:type="dxa"/>
            <w:vAlign w:val="center"/>
          </w:tcPr>
          <w:p>
            <w:pPr>
              <w:pStyle w:val="47"/>
              <w:rPr>
                <w:rFonts w:eastAsia="Batang"/>
                <w:lang w:val="en-GB"/>
              </w:rPr>
            </w:pPr>
            <w:r>
              <w:rPr>
                <w:rFonts w:eastAsia="Batang"/>
                <w:position w:val="-10"/>
                <w:lang w:val="en-GB"/>
              </w:rPr>
              <w:object>
                <v:shape id="_x0000_i1026" o:spt="75" type="#_x0000_t75" style="height:14.25pt;width:79.5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p>
        </w:tc>
        <w:tc>
          <w:tcPr>
            <w:tcW w:w="1843" w:type="dxa"/>
            <w:vAlign w:val="center"/>
          </w:tcPr>
          <w:p>
            <w:pPr>
              <w:pStyle w:val="47"/>
              <w:rPr>
                <w:lang w:val="en-GB" w:eastAsia="zh-CN"/>
              </w:rPr>
            </w:pPr>
            <w:r>
              <w:rPr>
                <w:rFonts w:hint="eastAsia"/>
                <w:i/>
                <w:lang w:val="en-US" w:eastAsia="zh-CN"/>
              </w:rPr>
              <w:t>Y</w:t>
            </w:r>
            <w:r>
              <w:rPr>
                <w:lang w:val="en-US" w:eastAsia="zh-CN"/>
              </w:rPr>
              <w:t xml:space="preserve"> [</w:t>
            </w:r>
            <w:r>
              <w:rPr>
                <w:rFonts w:hint="eastAsia"/>
                <w:lang w:val="en-US" w:eastAsia="zh-CN"/>
              </w:rPr>
              <w:t>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pStyle w:val="48"/>
              <w:rPr>
                <w:rFonts w:eastAsia="Batang"/>
                <w:lang w:val="en-GB"/>
              </w:rPr>
            </w:pPr>
            <w:r>
              <w:rPr>
                <w:rFonts w:eastAsia="Batang"/>
                <w:lang w:val="en-GB"/>
              </w:rPr>
              <w:t>0</w:t>
            </w:r>
          </w:p>
        </w:tc>
        <w:tc>
          <w:tcPr>
            <w:tcW w:w="1843" w:type="dxa"/>
          </w:tcPr>
          <w:p>
            <w:pPr>
              <w:pStyle w:val="48"/>
              <w:rPr>
                <w:rFonts w:eastAsia="Batang"/>
                <w:lang w:val="en-GB"/>
              </w:rPr>
            </w:pPr>
            <w:r>
              <w:rPr>
                <w:rFonts w:eastAsia="Batang"/>
                <w:lang w:val="en-GB"/>
              </w:rPr>
              <w:t>15</w:t>
            </w:r>
          </w:p>
        </w:tc>
        <w:tc>
          <w:tcPr>
            <w:tcW w:w="1843" w:type="dxa"/>
          </w:tcPr>
          <w:p>
            <w:pPr>
              <w:pStyle w:val="48"/>
              <w:rPr>
                <w:lang w:val="en-GB"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pStyle w:val="48"/>
              <w:rPr>
                <w:rFonts w:eastAsia="Batang"/>
                <w:lang w:val="en-GB"/>
              </w:rPr>
            </w:pPr>
            <w:r>
              <w:rPr>
                <w:rFonts w:eastAsia="Batang"/>
                <w:lang w:val="en-GB"/>
              </w:rPr>
              <w:t>1</w:t>
            </w:r>
          </w:p>
        </w:tc>
        <w:tc>
          <w:tcPr>
            <w:tcW w:w="1843" w:type="dxa"/>
          </w:tcPr>
          <w:p>
            <w:pPr>
              <w:pStyle w:val="48"/>
              <w:rPr>
                <w:rFonts w:eastAsia="Batang"/>
                <w:lang w:val="en-GB"/>
              </w:rPr>
            </w:pPr>
            <w:r>
              <w:rPr>
                <w:rFonts w:eastAsia="Batang"/>
                <w:lang w:val="en-GB"/>
              </w:rPr>
              <w:t>30</w:t>
            </w:r>
          </w:p>
        </w:tc>
        <w:tc>
          <w:tcPr>
            <w:tcW w:w="1843" w:type="dxa"/>
          </w:tcPr>
          <w:p>
            <w:pPr>
              <w:pStyle w:val="48"/>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pStyle w:val="48"/>
              <w:rPr>
                <w:rFonts w:eastAsia="Batang"/>
                <w:lang w:val="en-GB"/>
              </w:rPr>
            </w:pPr>
            <w:r>
              <w:rPr>
                <w:rFonts w:eastAsia="Batang"/>
                <w:lang w:val="en-GB"/>
              </w:rPr>
              <w:t>2</w:t>
            </w:r>
          </w:p>
        </w:tc>
        <w:tc>
          <w:tcPr>
            <w:tcW w:w="1843" w:type="dxa"/>
          </w:tcPr>
          <w:p>
            <w:pPr>
              <w:pStyle w:val="48"/>
              <w:rPr>
                <w:rFonts w:eastAsia="Batang"/>
                <w:lang w:val="en-GB"/>
              </w:rPr>
            </w:pPr>
            <w:r>
              <w:rPr>
                <w:rFonts w:eastAsia="Batang"/>
                <w:lang w:val="en-GB"/>
              </w:rPr>
              <w:t>60</w:t>
            </w:r>
          </w:p>
        </w:tc>
        <w:tc>
          <w:tcPr>
            <w:tcW w:w="1843" w:type="dxa"/>
          </w:tcPr>
          <w:p>
            <w:pPr>
              <w:pStyle w:val="48"/>
              <w:rPr>
                <w:lang w:val="en-US" w:eastAsia="zh-CN"/>
              </w:rPr>
            </w:pPr>
            <w:r>
              <w:rPr>
                <w:rFonts w:hint="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Pr>
          <w:p>
            <w:pPr>
              <w:pStyle w:val="48"/>
              <w:rPr>
                <w:rFonts w:eastAsia="Batang"/>
                <w:lang w:val="en-GB"/>
              </w:rPr>
            </w:pPr>
            <w:r>
              <w:rPr>
                <w:rFonts w:eastAsia="Batang"/>
                <w:lang w:val="en-GB"/>
              </w:rPr>
              <w:t>3</w:t>
            </w:r>
          </w:p>
        </w:tc>
        <w:tc>
          <w:tcPr>
            <w:tcW w:w="1843" w:type="dxa"/>
          </w:tcPr>
          <w:p>
            <w:pPr>
              <w:pStyle w:val="48"/>
              <w:rPr>
                <w:rFonts w:eastAsia="Batang"/>
                <w:lang w:val="en-GB"/>
              </w:rPr>
            </w:pPr>
            <w:r>
              <w:rPr>
                <w:rFonts w:eastAsia="Batang"/>
                <w:lang w:val="en-GB"/>
              </w:rPr>
              <w:t>120</w:t>
            </w:r>
          </w:p>
        </w:tc>
        <w:tc>
          <w:tcPr>
            <w:tcW w:w="1843" w:type="dxa"/>
          </w:tcPr>
          <w:p>
            <w:pPr>
              <w:pStyle w:val="48"/>
              <w:rPr>
                <w:lang w:val="en-US" w:eastAsia="zh-CN"/>
              </w:rPr>
            </w:pPr>
            <w:r>
              <w:rPr>
                <w:rFonts w:hint="eastAsia"/>
                <w:lang w:val="en-US" w:eastAsia="zh-CN"/>
              </w:rPr>
              <w:t>2</w:t>
            </w:r>
          </w:p>
        </w:tc>
      </w:tr>
    </w:tbl>
    <w:p>
      <w:pPr>
        <w:spacing w:before="180" w:beforeLines="0" w:line="260" w:lineRule="auto"/>
        <w:jc w:val="both"/>
        <w:rPr>
          <w:b/>
          <w:bCs/>
          <w:lang w:val="en-US" w:eastAsia="zh-CN"/>
        </w:rPr>
      </w:pPr>
      <w:r>
        <w:rPr>
          <w:rFonts w:hint="eastAsia" w:eastAsia="宋体"/>
          <w:color w:val="000000"/>
          <w:lang w:val="en-US" w:eastAsia="zh-CN"/>
        </w:rPr>
        <w:t xml:space="preserve">RAN1 in RAN1 #106bis e-meeting has agreed that the </w:t>
      </w:r>
      <w:r>
        <w:rPr>
          <w:rFonts w:ascii="Times New Roman" w:hAnsi="Times New Roman"/>
        </w:rPr>
        <w:t xml:space="preserve">minimum guard period Y between two SRS resources of an SRS resource set </w:t>
      </w:r>
      <w:r>
        <w:rPr>
          <w:rFonts w:hint="eastAsia" w:eastAsia="宋体"/>
          <w:lang w:val="en-US" w:eastAsia="zh-CN"/>
        </w:rPr>
        <w:t xml:space="preserve">should also be </w:t>
      </w:r>
      <w:r>
        <w:rPr>
          <w:rFonts w:ascii="Times New Roman" w:hAnsi="Times New Roman"/>
        </w:rPr>
        <w:t>supported for 480 kHz and 960 kHz</w:t>
      </w:r>
      <w:r>
        <w:rPr>
          <w:rFonts w:hint="eastAsia" w:eastAsia="宋体"/>
          <w:lang w:val="en-US" w:eastAsia="zh-CN"/>
        </w:rPr>
        <w:t xml:space="preserve">. A same scaled value of Y from 120 kHz can be defined for </w:t>
      </w:r>
      <w:r>
        <w:rPr>
          <w:rFonts w:ascii="Times New Roman" w:hAnsi="Times New Roman"/>
        </w:rPr>
        <w:t>480 kHz and 960 kHz</w:t>
      </w:r>
      <w:r>
        <w:rPr>
          <w:rFonts w:hint="eastAsia" w:eastAsia="宋体"/>
          <w:lang w:val="en-US" w:eastAsia="zh-CN"/>
        </w:rPr>
        <w:t>, e.g. 4 symbols. We think this issue can be handled by the following two ways: one is RAN1 determines a preliminary value and confirm it after RAN4 feedback the switching time requirement; the other is RAN1 sends an LS to RAN4 and ask RAN4 to provide the antenna switching time requirement.</w:t>
      </w:r>
    </w:p>
    <w:p>
      <w:pPr>
        <w:spacing w:before="180" w:beforeLines="0" w:line="260" w:lineRule="auto"/>
        <w:jc w:val="both"/>
        <w:rPr>
          <w:rFonts w:hint="default"/>
          <w:b/>
          <w:bCs/>
          <w:lang w:val="en-US" w:eastAsia="zh-CN"/>
        </w:rPr>
      </w:pPr>
      <w:r>
        <w:rPr>
          <w:b/>
          <w:bCs/>
          <w:lang w:val="en-US" w:eastAsia="zh-CN"/>
        </w:rPr>
        <w:t xml:space="preserve">Proposal </w:t>
      </w:r>
      <w:r>
        <w:rPr>
          <w:rFonts w:hint="eastAsia"/>
          <w:b/>
          <w:bCs/>
          <w:lang w:val="en-US" w:eastAsia="zh-CN"/>
        </w:rPr>
        <w:t xml:space="preserve">2: For minimum guard period Y, a same scaled value from </w:t>
      </w:r>
      <w:r>
        <w:rPr>
          <w:rFonts w:hint="eastAsia" w:eastAsia="宋体"/>
          <w:b/>
          <w:bCs/>
          <w:lang w:val="en-US" w:eastAsia="zh-CN"/>
        </w:rPr>
        <w:t xml:space="preserve">120 kHz can be defined for </w:t>
      </w:r>
      <w:r>
        <w:rPr>
          <w:rFonts w:ascii="Times New Roman" w:hAnsi="Times New Roman"/>
          <w:b/>
          <w:bCs/>
        </w:rPr>
        <w:t>480 kHz and 960 kHz</w:t>
      </w:r>
      <w:r>
        <w:rPr>
          <w:rFonts w:hint="eastAsia" w:eastAsia="宋体"/>
          <w:b/>
          <w:bCs/>
          <w:lang w:val="en-US" w:eastAsia="zh-CN"/>
        </w:rPr>
        <w:t xml:space="preserve"> e.g. 4 symbols, which can be confirmed after RAN4 feedback the antenna switching time requirement.</w:t>
      </w:r>
    </w:p>
    <w:p>
      <w:pPr>
        <w:widowControl w:val="0"/>
        <w:spacing w:before="300" w:after="200" w:line="260" w:lineRule="auto"/>
        <w:jc w:val="both"/>
        <w:outlineLvl w:val="2"/>
      </w:pPr>
      <w:r>
        <w:rPr>
          <w:rFonts w:eastAsia="宋体"/>
          <w:b/>
          <w:bCs/>
          <w:sz w:val="22"/>
          <w:szCs w:val="22"/>
          <w:lang w:val="en-US" w:eastAsia="zh-CN"/>
        </w:rPr>
        <w:t>2.1.</w:t>
      </w:r>
      <w:r>
        <w:rPr>
          <w:rFonts w:hint="eastAsia" w:eastAsia="宋体"/>
          <w:b/>
          <w:bCs/>
          <w:sz w:val="22"/>
          <w:szCs w:val="22"/>
          <w:lang w:val="en-US" w:eastAsia="zh-CN"/>
        </w:rPr>
        <w:t>3</w:t>
      </w:r>
      <w:r>
        <w:rPr>
          <w:rFonts w:eastAsia="宋体"/>
          <w:b/>
          <w:bCs/>
          <w:sz w:val="22"/>
          <w:szCs w:val="22"/>
          <w:lang w:val="en-US" w:eastAsia="zh-CN"/>
        </w:rPr>
        <w:t xml:space="preserve"> Beam switching gap</w:t>
      </w:r>
    </w:p>
    <w:p>
      <w:pPr>
        <w:widowControl w:val="0"/>
        <w:spacing w:line="260" w:lineRule="auto"/>
        <w:jc w:val="both"/>
        <w:rPr>
          <w:rFonts w:eastAsia="宋体"/>
          <w:lang w:val="en-US" w:eastAsia="zh-CN"/>
        </w:rPr>
      </w:pPr>
      <w:r>
        <w:rPr>
          <w:rFonts w:hint="eastAsia" w:eastAsia="宋体"/>
          <w:lang w:val="en-US" w:eastAsia="zh-CN"/>
        </w:rPr>
        <w:t xml:space="preserve">Table 2.1.3-1 shows the lengths of CP with SCSs = 120/480/960 kHz respectively. As shown in Table 2.1.3-1, we can see at least for SCSs = 120 kHz, NCP lengths can cover delay spread, time errors as well as beam switching time. However, for SCSs = 480/960 kHz, </w:t>
      </w:r>
      <w:r>
        <w:t xml:space="preserve">larger </w:t>
      </w:r>
      <w:r>
        <w:rPr>
          <w:rFonts w:hint="eastAsia" w:eastAsia="宋体"/>
          <w:lang w:val="en-US" w:eastAsia="zh-CN"/>
        </w:rPr>
        <w:t xml:space="preserve">SCSs </w:t>
      </w:r>
      <w:r>
        <w:t>reduces the budget for timing errors and beam switching</w:t>
      </w:r>
      <w:r>
        <w:rPr>
          <w:rFonts w:hint="eastAsia" w:eastAsia="宋体"/>
          <w:lang w:val="en-US" w:eastAsia="zh-CN"/>
        </w:rPr>
        <w:t>, and thus it is</w:t>
      </w:r>
      <w:r>
        <w:rPr>
          <w:rFonts w:eastAsia="宋体"/>
          <w:lang w:val="en-US" w:eastAsia="zh-CN"/>
        </w:rPr>
        <w:t xml:space="preserve"> difficult to ensure that beam switching can be done </w:t>
      </w:r>
      <w:r>
        <w:rPr>
          <w:rFonts w:hint="eastAsia" w:eastAsia="宋体"/>
          <w:lang w:val="en-US" w:eastAsia="zh-CN"/>
        </w:rPr>
        <w:t>with</w:t>
      </w:r>
      <w:r>
        <w:rPr>
          <w:rFonts w:eastAsia="宋体"/>
          <w:lang w:val="en-US" w:eastAsia="zh-CN"/>
        </w:rPr>
        <w:t xml:space="preserve">in </w:t>
      </w:r>
      <w:r>
        <w:rPr>
          <w:rFonts w:hint="eastAsia" w:eastAsia="宋体"/>
          <w:lang w:val="en-US" w:eastAsia="zh-CN"/>
        </w:rPr>
        <w:t>the lengths of NCP</w:t>
      </w:r>
      <w:r>
        <w:rPr>
          <w:rFonts w:hint="eastAsia" w:eastAsia="宋体"/>
          <w:lang w:val="en-US"/>
        </w:rPr>
        <w:t xml:space="preserve">, if </w:t>
      </w:r>
      <w:r>
        <w:rPr>
          <w:rFonts w:hint="eastAsia" w:eastAsia="宋体"/>
          <w:lang w:val="en-US" w:eastAsia="zh-CN"/>
        </w:rPr>
        <w:t>beam switching needs a long time.</w:t>
      </w:r>
    </w:p>
    <w:p>
      <w:pPr>
        <w:widowControl w:val="0"/>
        <w:spacing w:after="60" w:line="260" w:lineRule="auto"/>
        <w:jc w:val="center"/>
        <w:rPr>
          <w:rFonts w:eastAsia="宋体"/>
          <w:lang w:val="en-US" w:eastAsia="zh-CN"/>
        </w:rPr>
      </w:pPr>
      <w:r>
        <w:rPr>
          <w:rFonts w:eastAsia="宋体"/>
          <w:lang w:val="en-US" w:eastAsia="zh-CN"/>
        </w:rPr>
        <w:t xml:space="preserve">Table </w:t>
      </w:r>
      <w:r>
        <w:rPr>
          <w:rFonts w:hint="eastAsia" w:eastAsia="宋体"/>
          <w:lang w:val="en-US" w:eastAsia="zh-CN"/>
        </w:rPr>
        <w:t>2.1.3-</w:t>
      </w:r>
      <w:r>
        <w:rPr>
          <w:rFonts w:eastAsia="宋体"/>
          <w:lang w:val="en-US" w:eastAsia="zh-CN"/>
        </w:rPr>
        <w:t xml:space="preserve">1: the lengths of CP </w:t>
      </w:r>
      <w:r>
        <w:rPr>
          <w:rFonts w:hint="eastAsia" w:eastAsia="宋体"/>
          <w:lang w:val="en-US" w:eastAsia="zh-CN"/>
        </w:rPr>
        <w:t xml:space="preserve">with each </w:t>
      </w:r>
      <w:r>
        <w:rPr>
          <w:rFonts w:eastAsia="宋体"/>
          <w:lang w:val="en-US" w:eastAsia="zh-CN"/>
        </w:rPr>
        <w:t>SCS</w:t>
      </w:r>
      <w:r>
        <w:rPr>
          <w:rFonts w:hint="eastAsia" w:eastAsia="宋体"/>
          <w:lang w:val="en-US" w:eastAsia="zh-CN"/>
        </w:rPr>
        <w:t xml:space="preserve"> supported in above 52.6GHz</w:t>
      </w:r>
    </w:p>
    <w:tbl>
      <w:tblPr>
        <w:tblStyle w:val="26"/>
        <w:tblW w:w="6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7"/>
        <w:gridCol w:w="771"/>
        <w:gridCol w:w="965"/>
        <w:gridCol w:w="1446"/>
        <w:gridCol w:w="1391"/>
        <w:gridCol w:w="1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 w:type="dxa"/>
            <w:shd w:val="clear" w:color="auto" w:fill="F1F1F1" w:themeFill="background1" w:themeFillShade="F2"/>
          </w:tcPr>
          <w:p>
            <w:pPr>
              <w:widowControl w:val="0"/>
              <w:spacing w:after="60" w:line="260" w:lineRule="auto"/>
              <w:jc w:val="center"/>
              <w:rPr>
                <w:rFonts w:eastAsia="宋体"/>
                <w:lang w:val="en-US" w:eastAsia="zh-CN"/>
              </w:rPr>
            </w:pPr>
            <w:r>
              <w:rPr>
                <w:rFonts w:eastAsia="宋体"/>
                <w:lang w:val="en-US" w:eastAsia="zh-CN"/>
              </w:rPr>
              <w:t>u</w:t>
            </w:r>
          </w:p>
        </w:tc>
        <w:tc>
          <w:tcPr>
            <w:tcW w:w="771" w:type="dxa"/>
            <w:shd w:val="clear" w:color="auto" w:fill="F1F1F1" w:themeFill="background1" w:themeFillShade="F2"/>
          </w:tcPr>
          <w:p>
            <w:pPr>
              <w:widowControl w:val="0"/>
              <w:spacing w:after="60" w:line="260" w:lineRule="auto"/>
              <w:jc w:val="center"/>
              <w:rPr>
                <w:rFonts w:eastAsia="宋体"/>
                <w:lang w:val="en-US" w:eastAsia="zh-CN"/>
              </w:rPr>
            </w:pPr>
            <w:r>
              <w:rPr>
                <w:rFonts w:eastAsia="宋体"/>
                <w:lang w:val="en-US" w:eastAsia="zh-CN"/>
              </w:rPr>
              <w:t xml:space="preserve">SCS </w:t>
            </w:r>
          </w:p>
          <w:p>
            <w:pPr>
              <w:widowControl w:val="0"/>
              <w:spacing w:after="60" w:line="260" w:lineRule="auto"/>
              <w:jc w:val="center"/>
              <w:rPr>
                <w:rFonts w:eastAsia="宋体"/>
                <w:lang w:val="en-US" w:eastAsia="zh-CN"/>
              </w:rPr>
            </w:pPr>
            <w:r>
              <w:rPr>
                <w:rFonts w:eastAsia="宋体"/>
                <w:lang w:val="en-US" w:eastAsia="zh-CN"/>
              </w:rPr>
              <w:t>(kHz)</w:t>
            </w:r>
          </w:p>
        </w:tc>
        <w:tc>
          <w:tcPr>
            <w:tcW w:w="965" w:type="dxa"/>
            <w:shd w:val="clear" w:color="auto" w:fill="F1F1F1" w:themeFill="background1" w:themeFillShade="F2"/>
          </w:tcPr>
          <w:p>
            <w:pPr>
              <w:widowControl w:val="0"/>
              <w:spacing w:after="60" w:line="260" w:lineRule="auto"/>
              <w:jc w:val="center"/>
              <w:rPr>
                <w:rFonts w:eastAsia="宋体"/>
                <w:lang w:val="en-US" w:eastAsia="zh-CN"/>
              </w:rPr>
            </w:pPr>
            <w:r>
              <w:rPr>
                <w:rFonts w:eastAsia="宋体"/>
                <w:lang w:val="en-US" w:eastAsia="zh-CN"/>
              </w:rPr>
              <w:t>Slot</w:t>
            </w:r>
          </w:p>
          <w:p>
            <w:pPr>
              <w:widowControl w:val="0"/>
              <w:spacing w:after="60" w:line="260" w:lineRule="auto"/>
              <w:jc w:val="center"/>
              <w:rPr>
                <w:rFonts w:eastAsia="宋体"/>
                <w:lang w:val="en-US" w:eastAsia="zh-CN"/>
              </w:rPr>
            </w:pPr>
            <w:r>
              <w:rPr>
                <w:rFonts w:eastAsia="宋体"/>
                <w:lang w:val="en-US" w:eastAsia="zh-CN"/>
              </w:rPr>
              <w:t>length</w:t>
            </w:r>
          </w:p>
          <w:p>
            <w:pPr>
              <w:widowControl w:val="0"/>
              <w:spacing w:after="60" w:line="260" w:lineRule="auto"/>
              <w:jc w:val="center"/>
              <w:rPr>
                <w:rFonts w:eastAsia="宋体"/>
                <w:lang w:val="en-US" w:eastAsia="zh-CN"/>
              </w:rPr>
            </w:pPr>
            <w:r>
              <w:rPr>
                <w:rFonts w:eastAsia="宋体"/>
                <w:lang w:val="en-US" w:eastAsia="zh-CN"/>
              </w:rPr>
              <w:t>(us)</w:t>
            </w:r>
          </w:p>
        </w:tc>
        <w:tc>
          <w:tcPr>
            <w:tcW w:w="1446" w:type="dxa"/>
            <w:shd w:val="clear" w:color="auto" w:fill="F1F1F1" w:themeFill="background1" w:themeFillShade="F2"/>
          </w:tcPr>
          <w:p>
            <w:pPr>
              <w:widowControl w:val="0"/>
              <w:spacing w:after="60" w:line="260" w:lineRule="auto"/>
              <w:jc w:val="center"/>
              <w:rPr>
                <w:rFonts w:eastAsia="宋体"/>
                <w:lang w:val="en-US" w:eastAsia="zh-CN"/>
              </w:rPr>
            </w:pPr>
            <w:r>
              <w:rPr>
                <w:rFonts w:eastAsia="宋体"/>
                <w:lang w:val="en-US" w:eastAsia="zh-CN"/>
              </w:rPr>
              <w:t>Symbol length</w:t>
            </w:r>
          </w:p>
        </w:tc>
        <w:tc>
          <w:tcPr>
            <w:tcW w:w="1391" w:type="dxa"/>
            <w:shd w:val="clear" w:color="auto" w:fill="F1F1F1" w:themeFill="background1" w:themeFillShade="F2"/>
          </w:tcPr>
          <w:p>
            <w:pPr>
              <w:widowControl w:val="0"/>
              <w:spacing w:after="60" w:line="260" w:lineRule="auto"/>
              <w:jc w:val="center"/>
              <w:rPr>
                <w:rFonts w:eastAsia="宋体"/>
                <w:lang w:val="en-US" w:eastAsia="zh-CN"/>
              </w:rPr>
            </w:pPr>
            <w:r>
              <w:rPr>
                <w:rFonts w:eastAsia="宋体"/>
                <w:lang w:val="en-US" w:eastAsia="zh-CN"/>
              </w:rPr>
              <w:t>NCP length</w:t>
            </w:r>
          </w:p>
          <w:p>
            <w:pPr>
              <w:widowControl w:val="0"/>
              <w:spacing w:after="60" w:line="260" w:lineRule="auto"/>
              <w:jc w:val="center"/>
              <w:rPr>
                <w:rFonts w:eastAsia="宋体"/>
                <w:lang w:val="en-US" w:eastAsia="zh-CN"/>
              </w:rPr>
            </w:pPr>
            <w:r>
              <w:rPr>
                <w:rFonts w:eastAsia="宋体"/>
                <w:lang w:val="en-US" w:eastAsia="zh-CN"/>
              </w:rPr>
              <w:t>(</w:t>
            </w:r>
            <w:r>
              <w:rPr>
                <w:rFonts w:eastAsia="宋体"/>
                <w:position w:val="-6"/>
                <w:lang w:val="en-US" w:eastAsia="zh-CN"/>
              </w:rPr>
              <w:object>
                <v:shape id="_x0000_i1027" o:spt="75" type="#_x0000_t75" style="height:14.3pt;width:25.4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r>
              <w:rPr>
                <w:rFonts w:eastAsia="宋体"/>
                <w:lang w:val="en-US" w:eastAsia="zh-CN"/>
              </w:rPr>
              <w:t xml:space="preserve"> and </w:t>
            </w:r>
            <w:r>
              <w:rPr>
                <w:rFonts w:eastAsia="宋体"/>
                <w:position w:val="-6"/>
                <w:lang w:val="en-US" w:eastAsia="zh-CN"/>
              </w:rPr>
              <w:object>
                <v:shape id="_x0000_i1028" o:spt="75" type="#_x0000_t75" style="height:16.6pt;width:42.9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w:r>
            <w:r>
              <w:rPr>
                <w:rFonts w:eastAsia="宋体"/>
                <w:lang w:val="en-US" w:eastAsia="zh-CN"/>
              </w:rPr>
              <w:t>)</w:t>
            </w:r>
          </w:p>
        </w:tc>
        <w:tc>
          <w:tcPr>
            <w:tcW w:w="1303" w:type="dxa"/>
            <w:shd w:val="clear" w:color="auto" w:fill="F1F1F1" w:themeFill="background1" w:themeFillShade="F2"/>
          </w:tcPr>
          <w:p>
            <w:pPr>
              <w:widowControl w:val="0"/>
              <w:spacing w:after="60" w:line="260" w:lineRule="auto"/>
              <w:jc w:val="center"/>
              <w:rPr>
                <w:rFonts w:eastAsia="宋体"/>
                <w:lang w:val="en-US" w:eastAsia="zh-CN"/>
              </w:rPr>
            </w:pPr>
            <w:r>
              <w:rPr>
                <w:rFonts w:eastAsia="宋体"/>
                <w:lang w:val="en-US" w:eastAsia="zh-CN"/>
              </w:rPr>
              <w:t>NCP length</w:t>
            </w:r>
          </w:p>
          <w:p>
            <w:pPr>
              <w:widowControl w:val="0"/>
              <w:spacing w:after="60" w:line="260" w:lineRule="auto"/>
              <w:jc w:val="center"/>
              <w:rPr>
                <w:rFonts w:eastAsia="宋体"/>
                <w:lang w:val="en-US" w:eastAsia="zh-CN"/>
              </w:rPr>
            </w:pPr>
            <w:r>
              <w:rPr>
                <w:rFonts w:eastAsia="宋体"/>
                <w:lang w:val="en-US" w:eastAsia="zh-CN"/>
              </w:rPr>
              <w:t>(</w:t>
            </w:r>
            <w:r>
              <w:rPr>
                <w:rFonts w:eastAsia="宋体"/>
                <w:position w:val="-6"/>
                <w:lang w:val="en-US" w:eastAsia="zh-CN"/>
              </w:rPr>
              <w:object>
                <v:shape id="_x0000_i1029" o:spt="75" type="#_x0000_t75" style="height:14.3pt;width:25.4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9" r:id="rId14">
                  <o:LockedField>false</o:LockedField>
                </o:OLEObject>
              </w:object>
            </w:r>
            <w:r>
              <w:rPr>
                <w:rFonts w:eastAsia="宋体"/>
                <w:lang w:val="en-US" w:eastAsia="zh-CN"/>
              </w:rPr>
              <w:t xml:space="preserve"> or</w:t>
            </w:r>
          </w:p>
          <w:p>
            <w:pPr>
              <w:widowControl w:val="0"/>
              <w:spacing w:after="60" w:line="260" w:lineRule="auto"/>
              <w:jc w:val="center"/>
              <w:rPr>
                <w:rFonts w:eastAsia="宋体"/>
                <w:lang w:val="en-US" w:eastAsia="zh-CN"/>
              </w:rPr>
            </w:pPr>
            <w:r>
              <w:rPr>
                <w:rFonts w:eastAsia="宋体"/>
                <w:position w:val="-6"/>
                <w:lang w:val="en-US" w:eastAsia="zh-CN"/>
              </w:rPr>
              <w:object>
                <v:shape id="_x0000_i1030" o:spt="75" type="#_x0000_t75" style="height:16.6pt;width:42.9pt;" o:ole="t" filled="f" o:preferrelative="t" stroked="f" coordsize="21600,21600">
                  <v:path/>
                  <v:fill on="f" focussize="0,0"/>
                  <v:stroke on="f" joinstyle="miter"/>
                  <v:imagedata r:id="rId17" o:title=""/>
                  <o:lock v:ext="edit" aspectratio="t"/>
                  <w10:wrap type="none"/>
                  <w10:anchorlock/>
                </v:shape>
                <o:OLEObject Type="Embed" ProgID="Equation.3" ShapeID="_x0000_i1030" DrawAspect="Content" ObjectID="_1468075730" r:id="rId16">
                  <o:LockedField>false</o:LockedField>
                </o:OLEObject>
              </w:object>
            </w:r>
            <w:r>
              <w:rPr>
                <w:rFonts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 w:type="dxa"/>
          </w:tcPr>
          <w:p>
            <w:pPr>
              <w:widowControl w:val="0"/>
              <w:spacing w:after="60" w:line="260" w:lineRule="auto"/>
              <w:jc w:val="center"/>
              <w:rPr>
                <w:rFonts w:eastAsia="宋体"/>
                <w:lang w:val="en-US" w:eastAsia="zh-CN"/>
              </w:rPr>
            </w:pPr>
            <w:r>
              <w:rPr>
                <w:rFonts w:eastAsia="宋体"/>
                <w:lang w:val="en-US" w:eastAsia="zh-CN"/>
              </w:rPr>
              <w:t>3</w:t>
            </w:r>
          </w:p>
        </w:tc>
        <w:tc>
          <w:tcPr>
            <w:tcW w:w="771" w:type="dxa"/>
          </w:tcPr>
          <w:p>
            <w:pPr>
              <w:widowControl w:val="0"/>
              <w:spacing w:after="60" w:line="260" w:lineRule="auto"/>
              <w:jc w:val="center"/>
              <w:rPr>
                <w:rFonts w:eastAsia="宋体"/>
                <w:lang w:val="en-US" w:eastAsia="zh-CN"/>
              </w:rPr>
            </w:pPr>
            <w:r>
              <w:rPr>
                <w:rFonts w:eastAsia="宋体"/>
                <w:lang w:val="en-US" w:eastAsia="zh-CN"/>
              </w:rPr>
              <w:t>120</w:t>
            </w:r>
          </w:p>
        </w:tc>
        <w:tc>
          <w:tcPr>
            <w:tcW w:w="965" w:type="dxa"/>
          </w:tcPr>
          <w:p>
            <w:pPr>
              <w:widowControl w:val="0"/>
              <w:spacing w:after="60" w:line="260" w:lineRule="auto"/>
              <w:jc w:val="center"/>
              <w:rPr>
                <w:rFonts w:eastAsia="宋体"/>
                <w:lang w:val="en-US" w:eastAsia="zh-CN"/>
              </w:rPr>
            </w:pPr>
            <w:r>
              <w:rPr>
                <w:rFonts w:eastAsia="宋体"/>
                <w:lang w:val="en-US" w:eastAsia="zh-CN"/>
              </w:rPr>
              <w:t>125</w:t>
            </w:r>
          </w:p>
        </w:tc>
        <w:tc>
          <w:tcPr>
            <w:tcW w:w="1446" w:type="dxa"/>
          </w:tcPr>
          <w:p>
            <w:pPr>
              <w:widowControl w:val="0"/>
              <w:spacing w:after="60" w:line="260" w:lineRule="auto"/>
              <w:jc w:val="center"/>
              <w:rPr>
                <w:rFonts w:eastAsia="宋体"/>
                <w:lang w:val="en-US" w:eastAsia="zh-CN"/>
              </w:rPr>
            </w:pPr>
            <w:r>
              <w:rPr>
                <w:rFonts w:eastAsia="宋体"/>
                <w:lang w:val="en-US" w:eastAsia="zh-CN"/>
              </w:rPr>
              <w:t>8333 ns</w:t>
            </w:r>
          </w:p>
        </w:tc>
        <w:tc>
          <w:tcPr>
            <w:tcW w:w="1391" w:type="dxa"/>
          </w:tcPr>
          <w:p>
            <w:pPr>
              <w:widowControl w:val="0"/>
              <w:spacing w:after="60" w:line="260" w:lineRule="auto"/>
              <w:jc w:val="center"/>
              <w:rPr>
                <w:rFonts w:eastAsia="宋体"/>
                <w:lang w:val="en-US" w:eastAsia="zh-CN"/>
              </w:rPr>
            </w:pPr>
            <w:r>
              <w:rPr>
                <w:rFonts w:eastAsia="宋体"/>
                <w:lang w:val="en-US" w:eastAsia="zh-CN"/>
              </w:rPr>
              <w:t>586 ns</w:t>
            </w:r>
          </w:p>
        </w:tc>
        <w:tc>
          <w:tcPr>
            <w:tcW w:w="1303" w:type="dxa"/>
          </w:tcPr>
          <w:p>
            <w:pPr>
              <w:widowControl w:val="0"/>
              <w:spacing w:after="60" w:line="260" w:lineRule="auto"/>
              <w:jc w:val="center"/>
              <w:rPr>
                <w:rFonts w:eastAsia="宋体"/>
                <w:lang w:val="en-US" w:eastAsia="zh-CN"/>
              </w:rPr>
            </w:pPr>
            <w:r>
              <w:rPr>
                <w:rFonts w:eastAsia="宋体"/>
                <w:lang w:val="en-US" w:eastAsia="zh-CN"/>
              </w:rPr>
              <w:t>1107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 w:type="dxa"/>
          </w:tcPr>
          <w:p>
            <w:pPr>
              <w:widowControl w:val="0"/>
              <w:spacing w:after="60" w:line="260" w:lineRule="auto"/>
              <w:jc w:val="center"/>
              <w:rPr>
                <w:rFonts w:eastAsia="宋体"/>
                <w:lang w:val="en-US" w:eastAsia="zh-CN"/>
              </w:rPr>
            </w:pPr>
            <w:r>
              <w:rPr>
                <w:rFonts w:eastAsia="宋体"/>
                <w:lang w:val="en-US" w:eastAsia="zh-CN"/>
              </w:rPr>
              <w:t>5</w:t>
            </w:r>
          </w:p>
        </w:tc>
        <w:tc>
          <w:tcPr>
            <w:tcW w:w="771" w:type="dxa"/>
          </w:tcPr>
          <w:p>
            <w:pPr>
              <w:widowControl w:val="0"/>
              <w:spacing w:after="60" w:line="260" w:lineRule="auto"/>
              <w:jc w:val="center"/>
              <w:rPr>
                <w:rFonts w:eastAsia="宋体"/>
                <w:lang w:val="en-US" w:eastAsia="zh-CN"/>
              </w:rPr>
            </w:pPr>
            <w:r>
              <w:rPr>
                <w:rFonts w:eastAsia="宋体"/>
                <w:lang w:val="en-US" w:eastAsia="zh-CN"/>
              </w:rPr>
              <w:t>480</w:t>
            </w:r>
          </w:p>
        </w:tc>
        <w:tc>
          <w:tcPr>
            <w:tcW w:w="965" w:type="dxa"/>
          </w:tcPr>
          <w:p>
            <w:pPr>
              <w:widowControl w:val="0"/>
              <w:spacing w:after="60" w:line="260" w:lineRule="auto"/>
              <w:jc w:val="center"/>
              <w:rPr>
                <w:rFonts w:eastAsia="宋体"/>
                <w:lang w:val="en-US" w:eastAsia="zh-CN"/>
              </w:rPr>
            </w:pPr>
            <w:r>
              <w:rPr>
                <w:rFonts w:eastAsia="宋体"/>
                <w:lang w:val="en-US" w:eastAsia="zh-CN"/>
              </w:rPr>
              <w:t>31.25</w:t>
            </w:r>
          </w:p>
        </w:tc>
        <w:tc>
          <w:tcPr>
            <w:tcW w:w="1446" w:type="dxa"/>
          </w:tcPr>
          <w:p>
            <w:pPr>
              <w:widowControl w:val="0"/>
              <w:spacing w:after="60" w:line="260" w:lineRule="auto"/>
              <w:jc w:val="center"/>
              <w:rPr>
                <w:rFonts w:eastAsia="宋体"/>
                <w:lang w:val="en-US" w:eastAsia="zh-CN"/>
              </w:rPr>
            </w:pPr>
            <w:r>
              <w:rPr>
                <w:rFonts w:eastAsia="宋体"/>
                <w:lang w:val="en-US" w:eastAsia="zh-CN"/>
              </w:rPr>
              <w:t>2083 ns</w:t>
            </w:r>
          </w:p>
        </w:tc>
        <w:tc>
          <w:tcPr>
            <w:tcW w:w="1391" w:type="dxa"/>
          </w:tcPr>
          <w:p>
            <w:pPr>
              <w:widowControl w:val="0"/>
              <w:spacing w:after="60" w:line="260" w:lineRule="auto"/>
              <w:jc w:val="center"/>
              <w:rPr>
                <w:rFonts w:eastAsia="宋体"/>
                <w:highlight w:val="yellow"/>
                <w:lang w:val="en-US" w:eastAsia="zh-CN"/>
              </w:rPr>
            </w:pPr>
            <w:r>
              <w:rPr>
                <w:rFonts w:eastAsia="宋体"/>
                <w:highlight w:val="yellow"/>
                <w:lang w:val="en-US" w:eastAsia="zh-CN"/>
              </w:rPr>
              <w:t>146 ns</w:t>
            </w:r>
          </w:p>
        </w:tc>
        <w:tc>
          <w:tcPr>
            <w:tcW w:w="1303" w:type="dxa"/>
          </w:tcPr>
          <w:p>
            <w:pPr>
              <w:widowControl w:val="0"/>
              <w:spacing w:after="60" w:line="260" w:lineRule="auto"/>
              <w:jc w:val="center"/>
              <w:rPr>
                <w:rFonts w:eastAsia="宋体"/>
                <w:lang w:val="en-US" w:eastAsia="zh-CN"/>
              </w:rPr>
            </w:pPr>
            <w:r>
              <w:rPr>
                <w:rFonts w:eastAsia="宋体"/>
                <w:lang w:val="en-US" w:eastAsia="zh-CN"/>
              </w:rPr>
              <w:t>667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7" w:type="dxa"/>
          </w:tcPr>
          <w:p>
            <w:pPr>
              <w:widowControl w:val="0"/>
              <w:spacing w:after="60" w:line="260" w:lineRule="auto"/>
              <w:jc w:val="center"/>
              <w:rPr>
                <w:rFonts w:eastAsia="宋体"/>
                <w:lang w:val="en-US" w:eastAsia="zh-CN"/>
              </w:rPr>
            </w:pPr>
            <w:r>
              <w:rPr>
                <w:rFonts w:eastAsia="宋体"/>
                <w:lang w:val="en-US" w:eastAsia="zh-CN"/>
              </w:rPr>
              <w:t>6</w:t>
            </w:r>
          </w:p>
        </w:tc>
        <w:tc>
          <w:tcPr>
            <w:tcW w:w="771" w:type="dxa"/>
          </w:tcPr>
          <w:p>
            <w:pPr>
              <w:widowControl w:val="0"/>
              <w:spacing w:after="60" w:line="260" w:lineRule="auto"/>
              <w:jc w:val="center"/>
              <w:rPr>
                <w:rFonts w:eastAsia="宋体"/>
                <w:lang w:val="en-US" w:eastAsia="zh-CN"/>
              </w:rPr>
            </w:pPr>
            <w:r>
              <w:rPr>
                <w:rFonts w:eastAsia="宋体"/>
                <w:lang w:val="en-US" w:eastAsia="zh-CN"/>
              </w:rPr>
              <w:t>960</w:t>
            </w:r>
          </w:p>
        </w:tc>
        <w:tc>
          <w:tcPr>
            <w:tcW w:w="965" w:type="dxa"/>
          </w:tcPr>
          <w:p>
            <w:pPr>
              <w:widowControl w:val="0"/>
              <w:spacing w:after="60" w:line="260" w:lineRule="auto"/>
              <w:jc w:val="center"/>
              <w:rPr>
                <w:rFonts w:eastAsia="宋体"/>
                <w:lang w:val="en-US" w:eastAsia="zh-CN"/>
              </w:rPr>
            </w:pPr>
            <w:r>
              <w:rPr>
                <w:rFonts w:eastAsia="宋体"/>
                <w:lang w:val="en-US" w:eastAsia="zh-CN"/>
              </w:rPr>
              <w:t>15.625</w:t>
            </w:r>
          </w:p>
        </w:tc>
        <w:tc>
          <w:tcPr>
            <w:tcW w:w="1446" w:type="dxa"/>
          </w:tcPr>
          <w:p>
            <w:pPr>
              <w:widowControl w:val="0"/>
              <w:spacing w:after="60" w:line="260" w:lineRule="auto"/>
              <w:jc w:val="center"/>
              <w:rPr>
                <w:rFonts w:eastAsia="宋体"/>
                <w:lang w:val="en-US" w:eastAsia="zh-CN"/>
              </w:rPr>
            </w:pPr>
            <w:r>
              <w:rPr>
                <w:rFonts w:eastAsia="宋体"/>
                <w:lang w:val="en-US" w:eastAsia="zh-CN"/>
              </w:rPr>
              <w:t>1042 ns</w:t>
            </w:r>
          </w:p>
        </w:tc>
        <w:tc>
          <w:tcPr>
            <w:tcW w:w="1391" w:type="dxa"/>
          </w:tcPr>
          <w:p>
            <w:pPr>
              <w:widowControl w:val="0"/>
              <w:spacing w:after="60" w:line="260" w:lineRule="auto"/>
              <w:jc w:val="center"/>
              <w:rPr>
                <w:rFonts w:eastAsia="宋体"/>
                <w:highlight w:val="yellow"/>
                <w:lang w:val="en-US" w:eastAsia="zh-CN"/>
              </w:rPr>
            </w:pPr>
            <w:r>
              <w:rPr>
                <w:rFonts w:eastAsia="宋体"/>
                <w:highlight w:val="yellow"/>
                <w:lang w:val="en-US" w:eastAsia="zh-CN"/>
              </w:rPr>
              <w:t>73 ns</w:t>
            </w:r>
          </w:p>
        </w:tc>
        <w:tc>
          <w:tcPr>
            <w:tcW w:w="1303" w:type="dxa"/>
          </w:tcPr>
          <w:p>
            <w:pPr>
              <w:widowControl w:val="0"/>
              <w:spacing w:after="60" w:line="260" w:lineRule="auto"/>
              <w:jc w:val="center"/>
              <w:rPr>
                <w:rFonts w:eastAsia="宋体"/>
                <w:lang w:val="en-US" w:eastAsia="zh-CN"/>
              </w:rPr>
            </w:pPr>
            <w:r>
              <w:rPr>
                <w:rFonts w:eastAsia="宋体"/>
                <w:lang w:val="en-US" w:eastAsia="zh-CN"/>
              </w:rPr>
              <w:t>594 ns</w:t>
            </w:r>
          </w:p>
        </w:tc>
      </w:tr>
    </w:tbl>
    <w:p>
      <w:pPr>
        <w:widowControl w:val="0"/>
        <w:spacing w:before="180" w:line="260" w:lineRule="auto"/>
        <w:jc w:val="both"/>
        <w:rPr>
          <w:rFonts w:hint="default" w:eastAsia="宋体"/>
          <w:color w:val="auto"/>
          <w:lang w:val="en-US" w:eastAsia="zh-CN"/>
        </w:rPr>
      </w:pPr>
      <w:r>
        <w:rPr>
          <w:rFonts w:eastAsia="宋体"/>
          <w:lang w:val="en-US" w:eastAsia="zh-CN"/>
        </w:rPr>
        <w:t>I</w:t>
      </w:r>
      <w:r>
        <w:rPr>
          <w:rFonts w:eastAsia="宋体"/>
          <w:lang w:val="en-US"/>
        </w:rPr>
        <w:t>n the</w:t>
      </w:r>
      <w:r>
        <w:rPr>
          <w:rFonts w:eastAsia="宋体"/>
          <w:lang w:val="en-US" w:eastAsia="zh-CN"/>
        </w:rPr>
        <w:t xml:space="preserve"> reply LS R1-2106425</w:t>
      </w:r>
      <w:r>
        <w:rPr>
          <w:rFonts w:hint="eastAsia" w:eastAsia="宋体"/>
          <w:lang w:val="en-US" w:eastAsia="zh-CN"/>
        </w:rPr>
        <w:t xml:space="preserve"> [1] </w:t>
      </w:r>
      <w:r>
        <w:rPr>
          <w:rFonts w:eastAsia="宋体"/>
          <w:lang w:val="en-US"/>
        </w:rPr>
        <w:t xml:space="preserve">from RAN4 to RAN1, </w:t>
      </w:r>
      <w:r>
        <w:rPr>
          <w:rFonts w:eastAsia="宋体"/>
          <w:lang w:val="en-US" w:eastAsia="zh-CN"/>
        </w:rPr>
        <w:t xml:space="preserve">for </w:t>
      </w:r>
      <w:r>
        <w:t xml:space="preserve">gNB </w:t>
      </w:r>
      <w:r>
        <w:rPr>
          <w:rFonts w:eastAsia="宋体"/>
          <w:lang w:val="en-US" w:eastAsia="zh-CN"/>
        </w:rPr>
        <w:t>b</w:t>
      </w:r>
      <w:r>
        <w:t>eam switch time (beam direction switch only)</w:t>
      </w:r>
      <w:r>
        <w:rPr>
          <w:rFonts w:eastAsia="宋体"/>
          <w:lang w:val="en-US" w:eastAsia="zh-CN"/>
        </w:rPr>
        <w:t xml:space="preserve">, </w:t>
      </w:r>
      <w:r>
        <w:rPr>
          <w:rFonts w:eastAsia="宋体"/>
          <w:lang w:val="en-US"/>
        </w:rPr>
        <w:t>RAN4 tentatively agrees [59 ns]</w:t>
      </w:r>
      <w:r>
        <w:rPr>
          <w:rFonts w:eastAsia="宋体"/>
          <w:lang w:val="en-US" w:eastAsia="zh-CN"/>
        </w:rPr>
        <w:t xml:space="preserve"> </w:t>
      </w:r>
      <w:r>
        <w:t>with the understanding that the value can be confirmed once open issues related to BS output power are resolved</w:t>
      </w:r>
      <w:r>
        <w:rPr>
          <w:rFonts w:eastAsia="宋体"/>
          <w:lang w:val="en-US" w:eastAsia="zh-CN"/>
        </w:rPr>
        <w:t>. But for UE b</w:t>
      </w:r>
      <w:r>
        <w:t>eam switch time (beam direction switch only)</w:t>
      </w:r>
      <w:r>
        <w:rPr>
          <w:rFonts w:eastAsia="宋体"/>
          <w:lang w:val="en-US" w:eastAsia="zh-CN"/>
        </w:rPr>
        <w:t xml:space="preserve">, </w:t>
      </w:r>
      <w:r>
        <w:rPr>
          <w:rFonts w:hint="eastAsia" w:eastAsia="宋体"/>
          <w:lang w:val="en-US" w:eastAsia="zh-CN"/>
        </w:rPr>
        <w:t xml:space="preserve">RAN4 has not decided yet and will further study. However, even if </w:t>
      </w:r>
      <w:r>
        <w:rPr>
          <w:rFonts w:hint="eastAsia"/>
          <w:lang w:val="en-US" w:eastAsia="zh-CN"/>
        </w:rPr>
        <w:t>the lengths of CP with new SCSs 480/960 kHz are not enough for beam switching, t</w:t>
      </w:r>
      <w:r>
        <w:rPr>
          <w:lang w:val="en-US" w:eastAsia="zh-CN"/>
        </w:rPr>
        <w:t>he exis</w:t>
      </w:r>
      <w:r>
        <w:rPr>
          <w:color w:val="auto"/>
          <w:lang w:val="en-US" w:eastAsia="zh-CN"/>
        </w:rPr>
        <w:t xml:space="preserve">ting </w:t>
      </w:r>
      <w:r>
        <w:rPr>
          <w:rFonts w:hint="eastAsia"/>
          <w:color w:val="auto"/>
          <w:lang w:val="en-US" w:eastAsia="zh-CN"/>
        </w:rPr>
        <w:t xml:space="preserve">NR specifications </w:t>
      </w:r>
      <w:r>
        <w:rPr>
          <w:color w:val="auto"/>
          <w:lang w:val="en-US" w:eastAsia="zh-CN"/>
        </w:rPr>
        <w:t>ha</w:t>
      </w:r>
      <w:r>
        <w:rPr>
          <w:rFonts w:hint="eastAsia"/>
          <w:color w:val="auto"/>
          <w:lang w:val="en-US" w:eastAsia="zh-CN"/>
        </w:rPr>
        <w:t>ve</w:t>
      </w:r>
      <w:r>
        <w:rPr>
          <w:color w:val="auto"/>
          <w:lang w:val="en-US" w:eastAsia="zh-CN"/>
        </w:rPr>
        <w:t xml:space="preserve"> enough flexibility to support beam switching</w:t>
      </w:r>
      <w:r>
        <w:rPr>
          <w:rFonts w:hint="eastAsia"/>
          <w:color w:val="auto"/>
          <w:lang w:val="en-US" w:eastAsia="zh-CN"/>
        </w:rPr>
        <w:t xml:space="preserve"> for non-SSB channels/signals transmission. </w:t>
      </w:r>
      <w:r>
        <w:rPr>
          <w:rFonts w:hint="eastAsia" w:eastAsia="宋体" w:cs="Arial"/>
          <w:color w:val="auto"/>
          <w:lang w:val="en-US" w:eastAsia="zh-CN"/>
        </w:rPr>
        <w:t xml:space="preserve">For non-SSB channels/signals transmission cases, </w:t>
      </w:r>
      <w:r>
        <w:rPr>
          <w:rFonts w:hint="eastAsia" w:eastAsia="宋体"/>
          <w:color w:val="auto"/>
          <w:lang w:val="en-US" w:eastAsia="zh-CN"/>
        </w:rPr>
        <w:t>gNB can reserve a separate guard time (one or more full symbols) for beam switching by configuration implementation. But in the spirit of compromise, we agree to introduce a UE capability to report the beam switching time it can support.</w:t>
      </w:r>
    </w:p>
    <w:p>
      <w:pPr>
        <w:jc w:val="both"/>
        <w:rPr>
          <w:rFonts w:hint="default"/>
          <w:b/>
          <w:bCs/>
          <w:color w:val="auto"/>
          <w:lang w:val="en-US" w:eastAsia="zh-CN"/>
        </w:rPr>
      </w:pPr>
      <w:r>
        <w:rPr>
          <w:rFonts w:hint="eastAsia"/>
          <w:b/>
          <w:bCs/>
          <w:color w:val="auto"/>
          <w:lang w:val="en-US" w:eastAsia="zh-CN"/>
        </w:rPr>
        <w:t xml:space="preserve">Proposal 3: Introduce a UE capability </w:t>
      </w:r>
      <w:r>
        <w:rPr>
          <w:rFonts w:hint="eastAsia" w:eastAsia="宋体"/>
          <w:b/>
          <w:bCs/>
          <w:color w:val="auto"/>
          <w:lang w:val="en-US" w:eastAsia="zh-CN"/>
        </w:rPr>
        <w:t>for the UE reporting the beam switching time it can support b</w:t>
      </w:r>
      <w:r>
        <w:rPr>
          <w:rFonts w:hint="eastAsia"/>
          <w:b/>
          <w:bCs/>
          <w:color w:val="auto"/>
          <w:lang w:val="en-US" w:eastAsia="zh-CN"/>
        </w:rPr>
        <w:t>efore RAN4 makes a final conclusion on beam switching time.</w:t>
      </w:r>
    </w:p>
    <w:p>
      <w:pPr>
        <w:pStyle w:val="3"/>
        <w:numPr>
          <w:ilvl w:val="255"/>
          <w:numId w:val="0"/>
        </w:numPr>
        <w:snapToGrid w:val="0"/>
        <w:spacing w:after="240" w:line="260" w:lineRule="auto"/>
        <w:rPr>
          <w:rFonts w:ascii="Times New Roman" w:hAnsi="Times New Roman" w:eastAsia="宋体"/>
          <w:b/>
          <w:bCs w:val="0"/>
          <w:color w:val="auto"/>
          <w:sz w:val="24"/>
          <w:szCs w:val="24"/>
          <w:lang w:val="en-US" w:eastAsia="zh-CN"/>
        </w:rPr>
      </w:pPr>
      <w:r>
        <w:rPr>
          <w:rFonts w:hint="eastAsia" w:ascii="Times New Roman" w:hAnsi="Times New Roman"/>
          <w:b/>
          <w:bCs w:val="0"/>
          <w:color w:val="auto"/>
          <w:sz w:val="24"/>
          <w:szCs w:val="24"/>
          <w:lang w:val="en-US" w:eastAsia="zh-CN"/>
        </w:rPr>
        <w:t xml:space="preserve">2.2 </w:t>
      </w:r>
      <w:r>
        <w:rPr>
          <w:rFonts w:hint="eastAsia" w:ascii="Times New Roman" w:hAnsi="Times New Roman"/>
          <w:b/>
          <w:bCs w:val="0"/>
          <w:color w:val="auto"/>
          <w:sz w:val="24"/>
          <w:szCs w:val="24"/>
          <w:lang w:val="en-US"/>
        </w:rPr>
        <w:t>Beams for multiple</w:t>
      </w:r>
      <w:r>
        <w:rPr>
          <w:rFonts w:hint="eastAsia" w:ascii="Times New Roman" w:hAnsi="Times New Roman" w:eastAsia="宋体"/>
          <w:b/>
          <w:bCs w:val="0"/>
          <w:color w:val="auto"/>
          <w:sz w:val="24"/>
          <w:szCs w:val="24"/>
          <w:lang w:val="en-US" w:eastAsia="zh-CN"/>
        </w:rPr>
        <w:t xml:space="preserve"> </w:t>
      </w:r>
      <w:r>
        <w:rPr>
          <w:rFonts w:hint="eastAsia" w:ascii="Times New Roman" w:hAnsi="Times New Roman"/>
          <w:b/>
          <w:bCs w:val="0"/>
          <w:color w:val="auto"/>
          <w:sz w:val="24"/>
          <w:szCs w:val="24"/>
          <w:lang w:val="en-US"/>
        </w:rPr>
        <w:t>PDSCHs</w:t>
      </w:r>
      <w:r>
        <w:rPr>
          <w:rFonts w:hint="eastAsia" w:ascii="Times New Roman" w:hAnsi="Times New Roman" w:eastAsia="宋体"/>
          <w:b/>
          <w:bCs w:val="0"/>
          <w:color w:val="auto"/>
          <w:sz w:val="24"/>
          <w:szCs w:val="24"/>
          <w:lang w:val="en-US" w:eastAsia="zh-CN"/>
        </w:rPr>
        <w:t xml:space="preserve"> scheduled by a single DCI</w:t>
      </w:r>
    </w:p>
    <w:p>
      <w:pPr>
        <w:jc w:val="both"/>
        <w:rPr>
          <w:rFonts w:hint="eastAsia" w:ascii="Times New Roman" w:hAnsi="Times New Roman" w:eastAsia="宋体" w:cs="Times New Roman"/>
          <w:color w:val="auto"/>
          <w:lang w:val="en-US" w:eastAsia="zh-CN"/>
        </w:rPr>
      </w:pPr>
      <w:r>
        <w:rPr>
          <w:rFonts w:hint="eastAsia" w:eastAsia="宋体"/>
          <w:color w:val="auto"/>
          <w:lang w:val="en-US" w:eastAsia="zh-CN"/>
        </w:rPr>
        <w:t xml:space="preserve">One remaining issue of QCL assumption for multiple PDSCH scheduling by a single DCI is that how to acquire QCL assumption if cross-carrier scheduling is configured. </w:t>
      </w:r>
      <w:r>
        <w:rPr>
          <w:rFonts w:hint="eastAsia" w:ascii="Times New Roman" w:hAnsi="Times New Roman" w:eastAsia="宋体" w:cs="Times New Roman"/>
          <w:color w:val="auto"/>
          <w:lang w:val="en-US" w:eastAsia="zh-CN"/>
        </w:rPr>
        <w:t>I</w:t>
      </w:r>
      <w:r>
        <w:rPr>
          <w:rFonts w:hint="eastAsia" w:ascii="Times New Roman" w:hAnsi="Times New Roman" w:eastAsia="宋体" w:cs="Times New Roman"/>
          <w:color w:val="auto"/>
          <w:lang w:val="en-GB" w:eastAsia="zh-CN"/>
        </w:rPr>
        <w:t xml:space="preserve">n Rel-16, the QCL </w:t>
      </w:r>
      <w:r>
        <w:rPr>
          <w:rFonts w:hint="eastAsia" w:ascii="Times New Roman" w:hAnsi="Times New Roman" w:eastAsia="宋体" w:cs="Times New Roman"/>
          <w:color w:val="auto"/>
          <w:lang w:val="en-US" w:eastAsia="zh-CN"/>
        </w:rPr>
        <w:t xml:space="preserve">acquisition </w:t>
      </w:r>
      <w:r>
        <w:rPr>
          <w:rFonts w:hint="eastAsia" w:ascii="Times New Roman" w:hAnsi="Times New Roman" w:eastAsia="宋体" w:cs="Times New Roman"/>
          <w:color w:val="auto"/>
          <w:lang w:val="en-GB" w:eastAsia="zh-CN"/>
        </w:rPr>
        <w:t xml:space="preserve">rules for cross-carrier scheduling are only supported for single-TRP, so at least </w:t>
      </w:r>
      <w:r>
        <w:rPr>
          <w:rFonts w:hint="eastAsia" w:ascii="Times New Roman" w:hAnsi="Times New Roman" w:eastAsia="宋体" w:cs="Times New Roman"/>
          <w:color w:val="auto"/>
          <w:lang w:val="en-US" w:eastAsia="zh-CN"/>
        </w:rPr>
        <w:t>this</w:t>
      </w:r>
      <w:r>
        <w:rPr>
          <w:rFonts w:hint="eastAsia" w:ascii="Times New Roman" w:hAnsi="Times New Roman" w:eastAsia="宋体" w:cs="Times New Roman"/>
          <w:color w:val="auto"/>
          <w:lang w:val="en-GB" w:eastAsia="zh-CN"/>
        </w:rPr>
        <w:t xml:space="preserve"> case</w:t>
      </w:r>
      <w:r>
        <w:rPr>
          <w:rFonts w:hint="eastAsia" w:ascii="Times New Roman" w:hAnsi="Times New Roman" w:eastAsia="宋体" w:cs="Times New Roman"/>
          <w:color w:val="auto"/>
          <w:lang w:val="en-US" w:eastAsia="zh-CN"/>
        </w:rPr>
        <w:t xml:space="preserve"> should be covered in Rel-17 NR above 52.6 GHz</w:t>
      </w:r>
      <w:r>
        <w:rPr>
          <w:rFonts w:hint="eastAsia" w:ascii="Times New Roman" w:hAnsi="Times New Roman" w:eastAsia="宋体" w:cs="Times New Roman"/>
          <w:color w:val="auto"/>
          <w:lang w:val="en-GB" w:eastAsia="zh-CN"/>
        </w:rPr>
        <w:t xml:space="preserve">. </w:t>
      </w:r>
      <w:r>
        <w:rPr>
          <w:rFonts w:hint="eastAsia" w:ascii="Times New Roman" w:hAnsi="Times New Roman" w:eastAsia="宋体" w:cs="Times New Roman"/>
          <w:color w:val="auto"/>
          <w:lang w:val="en-US" w:eastAsia="zh-CN"/>
        </w:rPr>
        <w:t xml:space="preserve">we can </w:t>
      </w:r>
      <w:r>
        <w:rPr>
          <w:rFonts w:hint="eastAsia" w:ascii="Times New Roman" w:hAnsi="Times New Roman" w:eastAsia="宋体" w:cs="Times New Roman"/>
          <w:color w:val="auto"/>
          <w:lang w:val="en-GB" w:eastAsia="zh-CN"/>
        </w:rPr>
        <w:t>adopt the same rules as for Rel-16 and simply specify that the rules apply to each of the schedu</w:t>
      </w:r>
      <w:r>
        <w:rPr>
          <w:rFonts w:hint="eastAsia" w:ascii="Times New Roman" w:hAnsi="Times New Roman" w:eastAsia="宋体" w:cs="Times New Roman"/>
          <w:color w:val="auto"/>
          <w:lang w:val="en-US" w:eastAsia="zh-CN"/>
        </w:rPr>
        <w:t>le</w:t>
      </w:r>
      <w:r>
        <w:rPr>
          <w:rFonts w:hint="eastAsia" w:ascii="Times New Roman" w:hAnsi="Times New Roman" w:eastAsia="宋体" w:cs="Times New Roman"/>
          <w:color w:val="auto"/>
          <w:lang w:val="en-GB" w:eastAsia="zh-CN"/>
        </w:rPr>
        <w:t>d PDSCHs.</w:t>
      </w:r>
      <w:r>
        <w:rPr>
          <w:rFonts w:hint="eastAsia" w:ascii="Times New Roman" w:hAnsi="Times New Roman" w:eastAsia="宋体" w:cs="Times New Roman"/>
          <w:color w:val="auto"/>
          <w:lang w:val="en-US" w:eastAsia="zh-CN"/>
        </w:rPr>
        <w:t xml:space="preserve"> </w:t>
      </w:r>
    </w:p>
    <w:p>
      <w:pPr>
        <w:rPr>
          <w:rFonts w:hint="eastAsia" w:ascii="Times New Roman" w:hAnsi="Times New Roman" w:eastAsia="宋体" w:cs="Times New Roman"/>
          <w:iCs/>
          <w:szCs w:val="20"/>
          <w:lang w:val="en-US" w:eastAsia="zh-CN"/>
        </w:rPr>
      </w:pPr>
      <w:r>
        <w:rPr>
          <w:rFonts w:ascii="Times New Roman" w:hAnsi="Times New Roman" w:cs="Times New Roman"/>
          <w:iCs/>
          <w:szCs w:val="20"/>
        </w:rPr>
        <w:t>For single-TRP with multi-PDSCH cross-carrier scheduling</w:t>
      </w:r>
      <w:r>
        <w:rPr>
          <w:rFonts w:hint="eastAsia" w:ascii="Times New Roman" w:hAnsi="Times New Roman" w:eastAsia="宋体" w:cs="Times New Roman"/>
          <w:iCs/>
          <w:szCs w:val="20"/>
          <w:lang w:val="en-US" w:eastAsia="zh-CN"/>
        </w:rPr>
        <w:t>:</w:t>
      </w:r>
    </w:p>
    <w:p>
      <w:pPr>
        <w:numPr>
          <w:ilvl w:val="0"/>
          <w:numId w:val="15"/>
        </w:numPr>
        <w:rPr>
          <w:rFonts w:ascii="Times New Roman" w:hAnsi="Times New Roman" w:cs="Times New Roman"/>
          <w:iCs/>
          <w:szCs w:val="20"/>
        </w:rPr>
      </w:pPr>
      <w:r>
        <w:rPr>
          <w:rFonts w:ascii="Times New Roman" w:hAnsi="Times New Roman" w:cs="Times New Roman"/>
          <w:iCs/>
          <w:szCs w:val="20"/>
        </w:rPr>
        <w:t>Multiple QCL assumptions are applied as per Rel-16</w:t>
      </w:r>
    </w:p>
    <w:p>
      <w:pPr>
        <w:numPr>
          <w:ilvl w:val="1"/>
          <w:numId w:val="15"/>
        </w:numPr>
        <w:rPr>
          <w:rFonts w:ascii="Times New Roman" w:hAnsi="Times New Roman" w:cs="Times New Roman"/>
          <w:iCs/>
          <w:szCs w:val="20"/>
        </w:rPr>
      </w:pPr>
      <w:r>
        <w:rPr>
          <w:rFonts w:ascii="Times New Roman" w:hAnsi="Times New Roman" w:cs="Times New Roman"/>
          <w:iCs/>
          <w:szCs w:val="20"/>
        </w:rPr>
        <w:t>The following Rel-16 rule is applied for each scheduled PDSCH i</w:t>
      </w:r>
      <w:r>
        <w:rPr>
          <w:rFonts w:ascii="Times New Roman" w:hAnsi="Times New Roman" w:eastAsia="Times New Roman" w:cs="Times New Roman"/>
          <w:szCs w:val="20"/>
        </w:rPr>
        <w:t xml:space="preserve">f the UE is not configured with </w:t>
      </w:r>
      <w:r>
        <w:rPr>
          <w:rFonts w:ascii="Times New Roman" w:hAnsi="Times New Roman" w:eastAsia="Times New Roman" w:cs="Times New Roman"/>
          <w:i/>
          <w:iCs/>
          <w:szCs w:val="20"/>
        </w:rPr>
        <w:t>enableDefaultBeamForCCS</w:t>
      </w:r>
      <w:r>
        <w:rPr>
          <w:rFonts w:ascii="Times New Roman" w:hAnsi="Times New Roman" w:cs="Times New Roman"/>
          <w:iCs/>
          <w:szCs w:val="20"/>
        </w:rPr>
        <w:t>:</w:t>
      </w:r>
    </w:p>
    <w:p>
      <w:pPr>
        <w:ind w:left="1800"/>
        <w:rPr>
          <w:rFonts w:ascii="Times New Roman" w:hAnsi="Times New Roman" w:cs="Times New Roman"/>
          <w:szCs w:val="20"/>
        </w:rPr>
      </w:pPr>
      <w:r>
        <w:rPr>
          <w:rFonts w:ascii="Times New Roman" w:hAnsi="Times New Roman" w:eastAsia="宋体" w:cs="Times New Roman"/>
          <w:szCs w:val="20"/>
          <w:lang w:val="en-GB"/>
        </w:rPr>
        <w:t xml:space="preserve">When the UE is configured with CORESET associated with a search space set for cross-carrier scheduling and the UE is not configured with </w:t>
      </w:r>
      <w:r>
        <w:rPr>
          <w:rFonts w:ascii="Times New Roman" w:hAnsi="Times New Roman" w:eastAsia="宋体" w:cs="Times New Roman"/>
          <w:i/>
          <w:szCs w:val="20"/>
          <w:lang w:val="en-GB"/>
        </w:rPr>
        <w:t>enableDefaultBeamForCCS</w:t>
      </w:r>
      <w:r>
        <w:rPr>
          <w:rFonts w:ascii="Times New Roman" w:hAnsi="Times New Roman" w:eastAsia="宋体" w:cs="Times New Roman"/>
          <w:szCs w:val="20"/>
          <w:lang w:val="en-GB"/>
        </w:rPr>
        <w:t xml:space="preserve">, the UE expects </w:t>
      </w:r>
      <w:r>
        <w:rPr>
          <w:rFonts w:ascii="Times New Roman" w:hAnsi="Times New Roman" w:eastAsia="宋体" w:cs="Times New Roman"/>
          <w:i/>
          <w:szCs w:val="20"/>
          <w:lang w:val="en-GB"/>
        </w:rPr>
        <w:t xml:space="preserve">tci-PresentInDCI </w:t>
      </w:r>
      <w:r>
        <w:rPr>
          <w:rFonts w:ascii="Times New Roman" w:hAnsi="Times New Roman" w:eastAsia="宋体" w:cs="Times New Roman"/>
          <w:szCs w:val="20"/>
          <w:lang w:val="en-GB"/>
        </w:rPr>
        <w:t xml:space="preserve">is set as 'enabled' </w:t>
      </w:r>
      <w:r>
        <w:rPr>
          <w:rFonts w:ascii="Times New Roman" w:hAnsi="Times New Roman" w:eastAsia="宋体" w:cs="Times New Roman"/>
          <w:strike/>
          <w:szCs w:val="20"/>
          <w:lang w:val="en-GB"/>
        </w:rPr>
        <w:t xml:space="preserve">or </w:t>
      </w:r>
      <w:r>
        <w:rPr>
          <w:rFonts w:ascii="Times New Roman" w:hAnsi="Times New Roman" w:eastAsia="宋体" w:cs="Times New Roman"/>
          <w:i/>
          <w:strike/>
          <w:szCs w:val="20"/>
          <w:lang w:val="en-GB"/>
        </w:rPr>
        <w:t xml:space="preserve">tci-PresentDCI-1-2 </w:t>
      </w:r>
      <w:r>
        <w:rPr>
          <w:rFonts w:ascii="Times New Roman" w:hAnsi="Times New Roman" w:eastAsia="宋体" w:cs="Times New Roman"/>
          <w:strike/>
          <w:szCs w:val="20"/>
          <w:lang w:val="en-GB"/>
        </w:rPr>
        <w:t>is configured</w:t>
      </w:r>
      <w:r>
        <w:rPr>
          <w:rFonts w:ascii="Times New Roman" w:hAnsi="Times New Roman" w:eastAsia="宋体" w:cs="Times New Roman"/>
          <w:strike/>
          <w:dstrike w:val="0"/>
          <w:szCs w:val="20"/>
          <w:lang w:val="en-GB"/>
        </w:rPr>
        <w:t xml:space="preserve"> for the CORESET</w:t>
      </w:r>
      <w:r>
        <w:rPr>
          <w:rFonts w:ascii="Times New Roman" w:hAnsi="Times New Roman" w:eastAsia="宋体" w:cs="Times New Roman"/>
          <w:szCs w:val="20"/>
          <w:lang w:val="en-GB"/>
        </w:rPr>
        <w:t xml:space="preserve">, and if one or more of the TCI states configured for the serving cell scheduled by the search space set contains </w:t>
      </w:r>
      <w:r>
        <w:rPr>
          <w:rFonts w:ascii="Times New Roman" w:hAnsi="Times New Roman" w:eastAsia="宋体" w:cs="Times New Roman"/>
          <w:i/>
          <w:color w:val="000000"/>
          <w:szCs w:val="20"/>
          <w:lang w:val="en-GB"/>
        </w:rPr>
        <w:t>qcl-Type</w:t>
      </w:r>
      <w:r>
        <w:rPr>
          <w:rFonts w:ascii="Times New Roman" w:hAnsi="Times New Roman" w:eastAsia="宋体" w:cs="Times New Roman"/>
          <w:color w:val="000000"/>
          <w:szCs w:val="20"/>
          <w:lang w:val="en-GB"/>
        </w:rPr>
        <w:t xml:space="preserve"> set to</w:t>
      </w:r>
      <w:r>
        <w:rPr>
          <w:rFonts w:ascii="Times New Roman" w:hAnsi="Times New Roman" w:eastAsia="宋体" w:cs="Times New Roman"/>
          <w:szCs w:val="20"/>
          <w:lang w:val="en-GB"/>
        </w:rPr>
        <w:t xml:space="preserve"> 'typeD', the UE expects the time offset between the reception of the detected PDCCH in the search space set and the corresponding PDSCH is larger than or equal to the threshold </w:t>
      </w:r>
      <w:r>
        <w:rPr>
          <w:rFonts w:ascii="Times New Roman" w:hAnsi="Times New Roman" w:eastAsia="宋体" w:cs="Times New Roman"/>
          <w:i/>
          <w:color w:val="000000"/>
          <w:szCs w:val="20"/>
          <w:lang w:val="en-GB"/>
        </w:rPr>
        <w:t>timeDurationForQCL</w:t>
      </w:r>
      <w:r>
        <w:rPr>
          <w:rFonts w:ascii="Times New Roman" w:hAnsi="Times New Roman" w:cs="Times New Roman"/>
          <w:szCs w:val="20"/>
        </w:rPr>
        <w:t>.</w:t>
      </w:r>
    </w:p>
    <w:p>
      <w:pPr>
        <w:numPr>
          <w:ilvl w:val="1"/>
          <w:numId w:val="15"/>
        </w:numPr>
        <w:rPr>
          <w:rFonts w:ascii="Times New Roman" w:hAnsi="Times New Roman" w:cs="Times New Roman"/>
          <w:iCs/>
          <w:szCs w:val="20"/>
        </w:rPr>
      </w:pPr>
      <w:r>
        <w:rPr>
          <w:rFonts w:ascii="Times New Roman" w:hAnsi="Times New Roman" w:cs="Times New Roman"/>
          <w:iCs/>
          <w:szCs w:val="20"/>
        </w:rPr>
        <w:t>The following Rel-16 rule is applied for each scheduled PDSCH i</w:t>
      </w:r>
      <w:r>
        <w:rPr>
          <w:rFonts w:ascii="Times New Roman" w:hAnsi="Times New Roman" w:eastAsia="Times New Roman" w:cs="Times New Roman"/>
          <w:szCs w:val="20"/>
        </w:rPr>
        <w:t xml:space="preserve">f the UE is configured with </w:t>
      </w:r>
      <w:r>
        <w:rPr>
          <w:rFonts w:ascii="Times New Roman" w:hAnsi="Times New Roman" w:eastAsia="Times New Roman" w:cs="Times New Roman"/>
          <w:i/>
          <w:iCs/>
          <w:szCs w:val="20"/>
        </w:rPr>
        <w:t>enableDefaultBeamForCCS</w:t>
      </w:r>
      <w:r>
        <w:rPr>
          <w:rFonts w:ascii="Times New Roman" w:hAnsi="Times New Roman" w:cs="Times New Roman"/>
          <w:iCs/>
          <w:szCs w:val="20"/>
        </w:rPr>
        <w:t>:</w:t>
      </w:r>
    </w:p>
    <w:p>
      <w:pPr>
        <w:pStyle w:val="51"/>
        <w:ind w:left="1800" w:firstLine="0"/>
        <w:rPr>
          <w:rFonts w:ascii="Times New Roman" w:hAnsi="Times New Roman" w:cs="Times New Roman"/>
          <w:szCs w:val="20"/>
        </w:rPr>
      </w:pPr>
      <w:r>
        <w:rPr>
          <w:rFonts w:ascii="Times New Roman" w:hAnsi="Times New Roman" w:cs="Times New Roman"/>
          <w:color w:val="000000"/>
          <w:szCs w:val="20"/>
          <w:lang w:val="en-GB"/>
        </w:rPr>
        <w:t>W</w:t>
      </w:r>
      <w:r>
        <w:rPr>
          <w:rFonts w:ascii="Times New Roman" w:hAnsi="Times New Roman" w:cs="Times New Roman"/>
          <w:color w:val="000000"/>
          <w:szCs w:val="20"/>
        </w:rPr>
        <w:t xml:space="preserve">hen the UE is configured with </w:t>
      </w:r>
      <w:r>
        <w:rPr>
          <w:rFonts w:ascii="Times New Roman" w:hAnsi="Times New Roman" w:cs="Times New Roman"/>
          <w:i/>
          <w:iCs/>
          <w:color w:val="000000"/>
          <w:szCs w:val="20"/>
        </w:rPr>
        <w:t>enableDefaultBeamForCCS</w:t>
      </w:r>
      <w:r>
        <w:rPr>
          <w:rFonts w:ascii="Times New Roman" w:hAnsi="Times New Roman" w:cs="Times New Roman"/>
          <w:color w:val="000000"/>
          <w:szCs w:val="20"/>
        </w:rPr>
        <w:t xml:space="preserve">, </w:t>
      </w:r>
      <w:r>
        <w:rPr>
          <w:rFonts w:ascii="Times New Roman" w:hAnsi="Times New Roman" w:cs="Times New Roman"/>
          <w:color w:val="000000"/>
          <w:szCs w:val="20"/>
          <w:lang w:val="en-GB"/>
        </w:rPr>
        <w:t>if</w:t>
      </w:r>
      <w:r>
        <w:rPr>
          <w:rFonts w:ascii="Times New Roman" w:hAnsi="Times New Roman" w:cs="Times New Roman"/>
          <w:color w:val="000000"/>
          <w:szCs w:val="20"/>
        </w:rPr>
        <w:t xml:space="preserve"> the offset between the reception of the DL DCI and the corresponding PDSCH is less than the threshold </w:t>
      </w:r>
      <w:r>
        <w:rPr>
          <w:rFonts w:ascii="Times New Roman" w:hAnsi="Times New Roman" w:cs="Times New Roman"/>
          <w:i/>
          <w:color w:val="000000"/>
          <w:szCs w:val="20"/>
        </w:rPr>
        <w:t>timeDurationForQCL,</w:t>
      </w:r>
      <w:r>
        <w:rPr>
          <w:rFonts w:ascii="Times New Roman" w:hAnsi="Times New Roman" w:cs="Times New Roman"/>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pPr>
        <w:numPr>
          <w:ilvl w:val="1"/>
          <w:numId w:val="15"/>
        </w:numPr>
        <w:rPr>
          <w:rFonts w:ascii="Times New Roman" w:hAnsi="Times New Roman" w:cs="Times New Roman"/>
          <w:iCs/>
          <w:szCs w:val="20"/>
        </w:rPr>
      </w:pPr>
      <w:r>
        <w:rPr>
          <w:rFonts w:ascii="Times New Roman" w:hAnsi="Times New Roman" w:cs="Times New Roman"/>
          <w:iCs/>
          <w:szCs w:val="20"/>
        </w:rPr>
        <w:t xml:space="preserve">The Rel-16 rule corresponding to </w:t>
      </w:r>
      <w:r>
        <w:rPr>
          <w:rFonts w:ascii="Times New Roman" w:hAnsi="Times New Roman" w:cs="Times New Roman"/>
          <w:i/>
          <w:szCs w:val="20"/>
        </w:rPr>
        <w:t>tci-PresentInDCI</w:t>
      </w:r>
      <w:r>
        <w:rPr>
          <w:rFonts w:ascii="Times New Roman" w:hAnsi="Times New Roman" w:cs="Times New Roman"/>
          <w:iCs/>
          <w:szCs w:val="20"/>
        </w:rPr>
        <w:t xml:space="preserve"> present and not present is applied for each PDSCH ≥ timeDurationForQCL i</w:t>
      </w:r>
      <w:r>
        <w:rPr>
          <w:rFonts w:ascii="Times New Roman" w:hAnsi="Times New Roman" w:eastAsia="Times New Roman" w:cs="Times New Roman"/>
          <w:szCs w:val="20"/>
        </w:rPr>
        <w:t xml:space="preserve">f the UE is configured with </w:t>
      </w:r>
      <w:r>
        <w:rPr>
          <w:rFonts w:ascii="Times New Roman" w:hAnsi="Times New Roman" w:eastAsia="Times New Roman" w:cs="Times New Roman"/>
          <w:i/>
          <w:iCs/>
          <w:szCs w:val="20"/>
        </w:rPr>
        <w:t>enableDefaultBeamForCCS.</w:t>
      </w:r>
    </w:p>
    <w:p>
      <w:pPr>
        <w:jc w:val="both"/>
        <w:rPr>
          <w:rFonts w:hint="eastAsia" w:ascii="Times New Roman" w:hAnsi="Times New Roman" w:eastAsia="宋体" w:cs="Times New Roman"/>
          <w:b/>
          <w:bCs/>
          <w:iCs/>
          <w:szCs w:val="20"/>
          <w:lang w:val="en-US" w:eastAsia="zh-CN"/>
        </w:rPr>
      </w:pPr>
      <w:r>
        <w:rPr>
          <w:rFonts w:hint="eastAsia"/>
          <w:b/>
          <w:bCs/>
          <w:color w:val="auto"/>
          <w:lang w:val="en-US" w:eastAsia="zh-CN"/>
        </w:rPr>
        <w:t xml:space="preserve">Proposal 4: </w:t>
      </w:r>
      <w:r>
        <w:rPr>
          <w:rFonts w:ascii="Times New Roman" w:hAnsi="Times New Roman" w:cs="Times New Roman"/>
          <w:b/>
          <w:bCs/>
          <w:iCs/>
          <w:szCs w:val="20"/>
        </w:rPr>
        <w:t>For single-TRP with multi-PDSCH cross-carrier scheduling</w:t>
      </w:r>
      <w:r>
        <w:rPr>
          <w:rFonts w:hint="eastAsia" w:ascii="Times New Roman" w:hAnsi="Times New Roman" w:eastAsia="宋体" w:cs="Times New Roman"/>
          <w:b/>
          <w:bCs/>
          <w:iCs/>
          <w:szCs w:val="20"/>
          <w:lang w:val="en-US" w:eastAsia="zh-CN"/>
        </w:rPr>
        <w:t>:</w:t>
      </w:r>
    </w:p>
    <w:p>
      <w:pPr>
        <w:numPr>
          <w:ilvl w:val="0"/>
          <w:numId w:val="15"/>
        </w:numPr>
        <w:rPr>
          <w:rFonts w:ascii="Times New Roman" w:hAnsi="Times New Roman" w:cs="Times New Roman"/>
          <w:b/>
          <w:bCs/>
          <w:iCs/>
          <w:szCs w:val="20"/>
        </w:rPr>
      </w:pPr>
      <w:r>
        <w:rPr>
          <w:rFonts w:ascii="Times New Roman" w:hAnsi="Times New Roman" w:cs="Times New Roman"/>
          <w:b/>
          <w:bCs/>
          <w:iCs/>
          <w:szCs w:val="20"/>
        </w:rPr>
        <w:t>Multiple QCL assumptions are applied as per Rel-16</w:t>
      </w:r>
    </w:p>
    <w:p>
      <w:pPr>
        <w:numPr>
          <w:ilvl w:val="1"/>
          <w:numId w:val="15"/>
        </w:numPr>
        <w:rPr>
          <w:rFonts w:ascii="Times New Roman" w:hAnsi="Times New Roman" w:cs="Times New Roman"/>
          <w:b/>
          <w:bCs/>
          <w:iCs/>
          <w:szCs w:val="20"/>
        </w:rPr>
      </w:pPr>
      <w:r>
        <w:rPr>
          <w:rFonts w:ascii="Times New Roman" w:hAnsi="Times New Roman" w:cs="Times New Roman"/>
          <w:b/>
          <w:bCs/>
          <w:iCs/>
          <w:szCs w:val="20"/>
        </w:rPr>
        <w:t>The following Rel-16 rule is applied for each scheduled PDSCH i</w:t>
      </w:r>
      <w:r>
        <w:rPr>
          <w:rFonts w:ascii="Times New Roman" w:hAnsi="Times New Roman" w:eastAsia="Times New Roman" w:cs="Times New Roman"/>
          <w:b/>
          <w:bCs/>
          <w:szCs w:val="20"/>
        </w:rPr>
        <w:t xml:space="preserve">f the UE is not configured with </w:t>
      </w:r>
      <w:r>
        <w:rPr>
          <w:rFonts w:ascii="Times New Roman" w:hAnsi="Times New Roman" w:eastAsia="Times New Roman" w:cs="Times New Roman"/>
          <w:b/>
          <w:bCs/>
          <w:i/>
          <w:iCs/>
          <w:szCs w:val="20"/>
        </w:rPr>
        <w:t>enableDefaultBeamForCCS</w:t>
      </w:r>
      <w:r>
        <w:rPr>
          <w:rFonts w:ascii="Times New Roman" w:hAnsi="Times New Roman" w:cs="Times New Roman"/>
          <w:b/>
          <w:bCs/>
          <w:iCs/>
          <w:szCs w:val="20"/>
        </w:rPr>
        <w:t>:</w:t>
      </w:r>
    </w:p>
    <w:p>
      <w:pPr>
        <w:ind w:left="1800"/>
        <w:rPr>
          <w:rFonts w:ascii="Times New Roman" w:hAnsi="Times New Roman" w:cs="Times New Roman"/>
          <w:b/>
          <w:bCs/>
          <w:szCs w:val="20"/>
        </w:rPr>
      </w:pPr>
      <w:r>
        <w:rPr>
          <w:rFonts w:ascii="Times New Roman" w:hAnsi="Times New Roman" w:eastAsia="宋体" w:cs="Times New Roman"/>
          <w:b/>
          <w:bCs/>
          <w:szCs w:val="20"/>
          <w:lang w:val="en-GB"/>
        </w:rPr>
        <w:t xml:space="preserve">When the UE is configured with CORESET associated with a search space set for cross-carrier scheduling and the UE is not configured with </w:t>
      </w:r>
      <w:r>
        <w:rPr>
          <w:rFonts w:ascii="Times New Roman" w:hAnsi="Times New Roman" w:eastAsia="宋体" w:cs="Times New Roman"/>
          <w:b/>
          <w:bCs/>
          <w:i/>
          <w:szCs w:val="20"/>
          <w:lang w:val="en-GB"/>
        </w:rPr>
        <w:t>enableDefaultBeamForCCS</w:t>
      </w:r>
      <w:r>
        <w:rPr>
          <w:rFonts w:ascii="Times New Roman" w:hAnsi="Times New Roman" w:eastAsia="宋体" w:cs="Times New Roman"/>
          <w:b/>
          <w:bCs/>
          <w:szCs w:val="20"/>
          <w:lang w:val="en-GB"/>
        </w:rPr>
        <w:t xml:space="preserve">, the UE expects </w:t>
      </w:r>
      <w:r>
        <w:rPr>
          <w:rFonts w:ascii="Times New Roman" w:hAnsi="Times New Roman" w:eastAsia="宋体" w:cs="Times New Roman"/>
          <w:b/>
          <w:bCs/>
          <w:i/>
          <w:szCs w:val="20"/>
          <w:lang w:val="en-GB"/>
        </w:rPr>
        <w:t xml:space="preserve">tci-PresentInDCI </w:t>
      </w:r>
      <w:r>
        <w:rPr>
          <w:rFonts w:ascii="Times New Roman" w:hAnsi="Times New Roman" w:eastAsia="宋体" w:cs="Times New Roman"/>
          <w:b/>
          <w:bCs/>
          <w:szCs w:val="20"/>
          <w:lang w:val="en-GB"/>
        </w:rPr>
        <w:t xml:space="preserve">is set as 'enabled' </w:t>
      </w:r>
      <w:r>
        <w:rPr>
          <w:rFonts w:ascii="Times New Roman" w:hAnsi="Times New Roman" w:eastAsia="宋体" w:cs="Times New Roman"/>
          <w:b/>
          <w:bCs/>
          <w:strike/>
          <w:szCs w:val="20"/>
          <w:lang w:val="en-GB"/>
        </w:rPr>
        <w:t xml:space="preserve">or </w:t>
      </w:r>
      <w:r>
        <w:rPr>
          <w:rFonts w:ascii="Times New Roman" w:hAnsi="Times New Roman" w:eastAsia="宋体" w:cs="Times New Roman"/>
          <w:b/>
          <w:bCs/>
          <w:i/>
          <w:strike/>
          <w:szCs w:val="20"/>
          <w:lang w:val="en-GB"/>
        </w:rPr>
        <w:t xml:space="preserve">tci-PresentDCI-1-2 </w:t>
      </w:r>
      <w:r>
        <w:rPr>
          <w:rFonts w:ascii="Times New Roman" w:hAnsi="Times New Roman" w:eastAsia="宋体" w:cs="Times New Roman"/>
          <w:b/>
          <w:bCs/>
          <w:strike/>
          <w:szCs w:val="20"/>
          <w:lang w:val="en-GB"/>
        </w:rPr>
        <w:t>is configured</w:t>
      </w:r>
      <w:r>
        <w:rPr>
          <w:rFonts w:ascii="Times New Roman" w:hAnsi="Times New Roman" w:eastAsia="宋体" w:cs="Times New Roman"/>
          <w:b/>
          <w:bCs/>
          <w:strike/>
          <w:dstrike w:val="0"/>
          <w:szCs w:val="20"/>
          <w:lang w:val="en-GB"/>
        </w:rPr>
        <w:t xml:space="preserve"> for the CORESET</w:t>
      </w:r>
      <w:r>
        <w:rPr>
          <w:rFonts w:ascii="Times New Roman" w:hAnsi="Times New Roman" w:eastAsia="宋体" w:cs="Times New Roman"/>
          <w:b/>
          <w:bCs/>
          <w:szCs w:val="20"/>
          <w:lang w:val="en-GB"/>
        </w:rPr>
        <w:t xml:space="preserve">, and if one or more of the TCI states configured for the serving cell scheduled by the search space set contains </w:t>
      </w:r>
      <w:r>
        <w:rPr>
          <w:rFonts w:ascii="Times New Roman" w:hAnsi="Times New Roman" w:eastAsia="宋体" w:cs="Times New Roman"/>
          <w:b/>
          <w:bCs/>
          <w:i/>
          <w:color w:val="000000"/>
          <w:szCs w:val="20"/>
          <w:lang w:val="en-GB"/>
        </w:rPr>
        <w:t>qcl-Type</w:t>
      </w:r>
      <w:r>
        <w:rPr>
          <w:rFonts w:ascii="Times New Roman" w:hAnsi="Times New Roman" w:eastAsia="宋体" w:cs="Times New Roman"/>
          <w:b/>
          <w:bCs/>
          <w:color w:val="000000"/>
          <w:szCs w:val="20"/>
          <w:lang w:val="en-GB"/>
        </w:rPr>
        <w:t xml:space="preserve"> set to</w:t>
      </w:r>
      <w:r>
        <w:rPr>
          <w:rFonts w:ascii="Times New Roman" w:hAnsi="Times New Roman" w:eastAsia="宋体" w:cs="Times New Roman"/>
          <w:b/>
          <w:bCs/>
          <w:szCs w:val="20"/>
          <w:lang w:val="en-GB"/>
        </w:rPr>
        <w:t xml:space="preserve"> 'typeD', the UE expects the time offset between the reception of the detected PDCCH in the search space set and the corresponding PDSCH is larger than or equal to the threshold </w:t>
      </w:r>
      <w:r>
        <w:rPr>
          <w:rFonts w:ascii="Times New Roman" w:hAnsi="Times New Roman" w:eastAsia="宋体" w:cs="Times New Roman"/>
          <w:b/>
          <w:bCs/>
          <w:i/>
          <w:color w:val="000000"/>
          <w:szCs w:val="20"/>
          <w:lang w:val="en-GB"/>
        </w:rPr>
        <w:t>timeDurationForQCL</w:t>
      </w:r>
      <w:r>
        <w:rPr>
          <w:rFonts w:ascii="Times New Roman" w:hAnsi="Times New Roman" w:cs="Times New Roman"/>
          <w:b/>
          <w:bCs/>
          <w:szCs w:val="20"/>
        </w:rPr>
        <w:t>.</w:t>
      </w:r>
    </w:p>
    <w:p>
      <w:pPr>
        <w:numPr>
          <w:ilvl w:val="1"/>
          <w:numId w:val="15"/>
        </w:numPr>
        <w:rPr>
          <w:rFonts w:ascii="Times New Roman" w:hAnsi="Times New Roman" w:cs="Times New Roman"/>
          <w:b/>
          <w:bCs/>
          <w:iCs/>
          <w:szCs w:val="20"/>
        </w:rPr>
      </w:pPr>
      <w:r>
        <w:rPr>
          <w:rFonts w:ascii="Times New Roman" w:hAnsi="Times New Roman" w:cs="Times New Roman"/>
          <w:b/>
          <w:bCs/>
          <w:iCs/>
          <w:szCs w:val="20"/>
        </w:rPr>
        <w:t>The following Rel-16 rule is applied for each scheduled PDSCH i</w:t>
      </w:r>
      <w:r>
        <w:rPr>
          <w:rFonts w:ascii="Times New Roman" w:hAnsi="Times New Roman" w:eastAsia="Times New Roman" w:cs="Times New Roman"/>
          <w:b/>
          <w:bCs/>
          <w:szCs w:val="20"/>
        </w:rPr>
        <w:t xml:space="preserve">f the UE is configured with </w:t>
      </w:r>
      <w:r>
        <w:rPr>
          <w:rFonts w:ascii="Times New Roman" w:hAnsi="Times New Roman" w:eastAsia="Times New Roman" w:cs="Times New Roman"/>
          <w:b/>
          <w:bCs/>
          <w:i/>
          <w:iCs/>
          <w:szCs w:val="20"/>
        </w:rPr>
        <w:t>enableDefaultBeamForCCS</w:t>
      </w:r>
      <w:r>
        <w:rPr>
          <w:rFonts w:ascii="Times New Roman" w:hAnsi="Times New Roman" w:cs="Times New Roman"/>
          <w:b/>
          <w:bCs/>
          <w:iCs/>
          <w:szCs w:val="20"/>
        </w:rPr>
        <w:t>:</w:t>
      </w:r>
    </w:p>
    <w:p>
      <w:pPr>
        <w:pStyle w:val="51"/>
        <w:ind w:left="1800" w:firstLine="0"/>
        <w:rPr>
          <w:rFonts w:ascii="Times New Roman" w:hAnsi="Times New Roman" w:cs="Times New Roman"/>
          <w:b/>
          <w:bCs/>
          <w:szCs w:val="20"/>
        </w:rPr>
      </w:pPr>
      <w:r>
        <w:rPr>
          <w:rFonts w:ascii="Times New Roman" w:hAnsi="Times New Roman" w:cs="Times New Roman"/>
          <w:b/>
          <w:bCs/>
          <w:color w:val="000000"/>
          <w:szCs w:val="20"/>
          <w:lang w:val="en-GB"/>
        </w:rPr>
        <w:t>W</w:t>
      </w:r>
      <w:r>
        <w:rPr>
          <w:rFonts w:ascii="Times New Roman" w:hAnsi="Times New Roman" w:cs="Times New Roman"/>
          <w:b/>
          <w:bCs/>
          <w:color w:val="000000"/>
          <w:szCs w:val="20"/>
        </w:rPr>
        <w:t xml:space="preserve">hen the UE is configured with </w:t>
      </w:r>
      <w:r>
        <w:rPr>
          <w:rFonts w:ascii="Times New Roman" w:hAnsi="Times New Roman" w:cs="Times New Roman"/>
          <w:b/>
          <w:bCs/>
          <w:i/>
          <w:iCs/>
          <w:color w:val="000000"/>
          <w:szCs w:val="20"/>
        </w:rPr>
        <w:t>enableDefaultBeamForCCS</w:t>
      </w:r>
      <w:r>
        <w:rPr>
          <w:rFonts w:ascii="Times New Roman" w:hAnsi="Times New Roman" w:cs="Times New Roman"/>
          <w:b/>
          <w:bCs/>
          <w:color w:val="000000"/>
          <w:szCs w:val="20"/>
        </w:rPr>
        <w:t xml:space="preserve">, </w:t>
      </w:r>
      <w:r>
        <w:rPr>
          <w:rFonts w:ascii="Times New Roman" w:hAnsi="Times New Roman" w:cs="Times New Roman"/>
          <w:b/>
          <w:bCs/>
          <w:color w:val="000000"/>
          <w:szCs w:val="20"/>
          <w:lang w:val="en-GB"/>
        </w:rPr>
        <w:t>if</w:t>
      </w:r>
      <w:r>
        <w:rPr>
          <w:rFonts w:ascii="Times New Roman" w:hAnsi="Times New Roman" w:cs="Times New Roman"/>
          <w:b/>
          <w:bCs/>
          <w:color w:val="000000"/>
          <w:szCs w:val="20"/>
        </w:rPr>
        <w:t xml:space="preserve"> the offset between the reception of the DL DCI and the corresponding PDSCH is less than the threshold </w:t>
      </w:r>
      <w:r>
        <w:rPr>
          <w:rFonts w:ascii="Times New Roman" w:hAnsi="Times New Roman" w:cs="Times New Roman"/>
          <w:b/>
          <w:bCs/>
          <w:i/>
          <w:color w:val="000000"/>
          <w:szCs w:val="20"/>
        </w:rPr>
        <w:t>timeDurationForQCL,</w:t>
      </w:r>
      <w:r>
        <w:rPr>
          <w:rFonts w:ascii="Times New Roman" w:hAnsi="Times New Roman" w:cs="Times New Roman"/>
          <w:b/>
          <w:bCs/>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pPr>
        <w:numPr>
          <w:ilvl w:val="1"/>
          <w:numId w:val="15"/>
        </w:numPr>
        <w:rPr>
          <w:rFonts w:ascii="Times New Roman" w:hAnsi="Times New Roman" w:cs="Times New Roman"/>
          <w:b/>
          <w:bCs/>
          <w:iCs/>
          <w:szCs w:val="20"/>
        </w:rPr>
      </w:pPr>
      <w:r>
        <w:rPr>
          <w:rFonts w:ascii="Times New Roman" w:hAnsi="Times New Roman" w:cs="Times New Roman"/>
          <w:b/>
          <w:bCs/>
          <w:iCs/>
          <w:szCs w:val="20"/>
        </w:rPr>
        <w:t xml:space="preserve">The Rel-16 rule corresponding to </w:t>
      </w:r>
      <w:r>
        <w:rPr>
          <w:rFonts w:ascii="Times New Roman" w:hAnsi="Times New Roman" w:cs="Times New Roman"/>
          <w:b/>
          <w:bCs/>
          <w:i/>
          <w:szCs w:val="20"/>
        </w:rPr>
        <w:t>tci-PresentInDCI</w:t>
      </w:r>
      <w:r>
        <w:rPr>
          <w:rFonts w:ascii="Times New Roman" w:hAnsi="Times New Roman" w:cs="Times New Roman"/>
          <w:b/>
          <w:bCs/>
          <w:iCs/>
          <w:szCs w:val="20"/>
        </w:rPr>
        <w:t xml:space="preserve"> present and not present is applied for each PDSCH ≥ timeDurationForQCL i</w:t>
      </w:r>
      <w:r>
        <w:rPr>
          <w:rFonts w:ascii="Times New Roman" w:hAnsi="Times New Roman" w:eastAsia="Times New Roman" w:cs="Times New Roman"/>
          <w:b/>
          <w:bCs/>
          <w:szCs w:val="20"/>
        </w:rPr>
        <w:t xml:space="preserve">f the UE is configured with </w:t>
      </w:r>
      <w:r>
        <w:rPr>
          <w:rFonts w:ascii="Times New Roman" w:hAnsi="Times New Roman" w:eastAsia="Times New Roman" w:cs="Times New Roman"/>
          <w:b/>
          <w:bCs/>
          <w:i/>
          <w:iCs/>
          <w:szCs w:val="20"/>
        </w:rPr>
        <w:t>enableDefaultBeamForCCS.</w:t>
      </w:r>
    </w:p>
    <w:bookmarkEnd w:id="0"/>
    <w:bookmarkEnd w:id="1"/>
    <w:bookmarkEnd w:id="2"/>
    <w:bookmarkEnd w:id="3"/>
    <w:bookmarkEnd w:id="4"/>
    <w:p>
      <w:pPr>
        <w:pStyle w:val="2"/>
        <w:spacing w:before="120" w:after="120" w:line="240" w:lineRule="auto"/>
        <w:jc w:val="both"/>
        <w:rPr>
          <w:rFonts w:ascii="Times New Roman" w:hAnsi="Times New Roman" w:eastAsia="宋体"/>
          <w:b/>
          <w:color w:val="auto"/>
          <w:sz w:val="32"/>
          <w:szCs w:val="32"/>
          <w:lang w:val="en-US" w:eastAsia="zh-CN"/>
        </w:rPr>
      </w:pPr>
      <w:r>
        <w:rPr>
          <w:rFonts w:hint="eastAsia" w:ascii="Times New Roman" w:hAnsi="Times New Roman" w:eastAsia="宋体"/>
          <w:b/>
          <w:color w:val="auto"/>
          <w:sz w:val="32"/>
          <w:szCs w:val="32"/>
          <w:lang w:val="en-US" w:eastAsia="zh-CN"/>
        </w:rPr>
        <w:t xml:space="preserve"> Conclusion</w:t>
      </w:r>
    </w:p>
    <w:p>
      <w:pPr>
        <w:jc w:val="both"/>
        <w:rPr>
          <w:rFonts w:hint="eastAsia"/>
          <w:color w:val="auto"/>
          <w:lang w:val="en-US" w:eastAsia="zh-CN"/>
        </w:rPr>
      </w:pPr>
      <w:r>
        <w:rPr>
          <w:rFonts w:hint="eastAsia"/>
          <w:color w:val="auto"/>
          <w:lang w:val="en-US" w:eastAsia="zh-CN"/>
        </w:rPr>
        <w:t>In this contribution, we discuss beam management enhancements for NR above 52.6 GHz band operation and have the following proposals.</w:t>
      </w:r>
    </w:p>
    <w:p>
      <w:pPr>
        <w:keepNext w:val="0"/>
        <w:keepLines w:val="0"/>
        <w:pageBreakBefore w:val="0"/>
        <w:widowControl/>
        <w:kinsoku/>
        <w:wordWrap/>
        <w:overflowPunct/>
        <w:topLinePunct w:val="0"/>
        <w:autoSpaceDE/>
        <w:autoSpaceDN/>
        <w:bidi w:val="0"/>
        <w:adjustRightInd/>
        <w:snapToGrid/>
        <w:spacing w:before="180" w:beforeLines="0" w:after="0" w:line="260" w:lineRule="auto"/>
        <w:jc w:val="both"/>
        <w:textAlignment w:val="auto"/>
        <w:rPr>
          <w:rFonts w:hint="eastAsia" w:eastAsia="宋体"/>
          <w:b/>
          <w:bCs/>
          <w:lang w:val="en-US" w:eastAsia="zh-CN"/>
        </w:rPr>
      </w:pPr>
      <w:r>
        <w:rPr>
          <w:b/>
          <w:bCs/>
          <w:lang w:val="en-US" w:eastAsia="zh-CN"/>
        </w:rPr>
        <w:t xml:space="preserve">Proposal </w:t>
      </w:r>
      <w:r>
        <w:rPr>
          <w:rFonts w:hint="eastAsia"/>
          <w:b/>
          <w:bCs/>
          <w:lang w:val="en-US" w:eastAsia="zh-CN"/>
        </w:rPr>
        <w:t xml:space="preserve">1: For </w:t>
      </w:r>
      <w:r>
        <w:rPr>
          <w:b/>
          <w:bCs/>
          <w:i/>
          <w:iCs w:val="0"/>
          <w:lang w:val="en-US"/>
        </w:rPr>
        <w:t>maxNumberRxTxBeamSwitchDL</w:t>
      </w:r>
      <w:r>
        <w:rPr>
          <w:rFonts w:hint="eastAsia"/>
          <w:b/>
          <w:bCs/>
          <w:lang w:val="en-US" w:eastAsia="zh-CN"/>
        </w:rPr>
        <w:t>, RAN1 should support to reuse the following candidate values of 120 kHz in FR2-1 for 120 kHz in FR2-2</w:t>
      </w:r>
      <w:r>
        <w:rPr>
          <w:rFonts w:hint="eastAsia" w:eastAsia="宋体"/>
          <w:b/>
          <w:bCs/>
          <w:lang w:val="en-US" w:eastAsia="zh-CN"/>
        </w:rPr>
        <w:t>.</w:t>
      </w:r>
    </w:p>
    <w:p>
      <w:pPr>
        <w:pStyle w:val="125"/>
        <w:numPr>
          <w:ilvl w:val="0"/>
          <w:numId w:val="14"/>
        </w:numPr>
        <w:rPr>
          <w:b/>
          <w:bCs/>
          <w:sz w:val="21"/>
          <w:szCs w:val="21"/>
        </w:rPr>
      </w:pPr>
      <w:r>
        <w:rPr>
          <w:rFonts w:hint="eastAsia" w:eastAsia="宋体"/>
          <w:b/>
          <w:bCs/>
          <w:sz w:val="21"/>
          <w:szCs w:val="21"/>
          <w:lang w:val="en-US" w:eastAsia="zh-CN"/>
        </w:rPr>
        <w:t>4, 7, 14</w:t>
      </w:r>
    </w:p>
    <w:p>
      <w:pPr>
        <w:spacing w:before="180" w:beforeLines="0" w:line="260" w:lineRule="auto"/>
        <w:jc w:val="both"/>
        <w:rPr>
          <w:rFonts w:hint="default"/>
          <w:b/>
          <w:bCs/>
          <w:lang w:val="en-US" w:eastAsia="zh-CN"/>
        </w:rPr>
      </w:pPr>
      <w:r>
        <w:rPr>
          <w:b/>
          <w:bCs/>
          <w:lang w:val="en-US" w:eastAsia="zh-CN"/>
        </w:rPr>
        <w:t xml:space="preserve">Proposal </w:t>
      </w:r>
      <w:r>
        <w:rPr>
          <w:rFonts w:hint="eastAsia"/>
          <w:b/>
          <w:bCs/>
          <w:lang w:val="en-US" w:eastAsia="zh-CN"/>
        </w:rPr>
        <w:t xml:space="preserve">2: For minimum guard period Y, a same scaled value from </w:t>
      </w:r>
      <w:r>
        <w:rPr>
          <w:rFonts w:hint="eastAsia" w:eastAsia="宋体"/>
          <w:b/>
          <w:bCs/>
          <w:lang w:val="en-US" w:eastAsia="zh-CN"/>
        </w:rPr>
        <w:t xml:space="preserve">120 kHz can be defined for </w:t>
      </w:r>
      <w:r>
        <w:rPr>
          <w:rFonts w:ascii="Times New Roman" w:hAnsi="Times New Roman"/>
          <w:b/>
          <w:bCs/>
        </w:rPr>
        <w:t>480 kHz and 960 kHz</w:t>
      </w:r>
      <w:r>
        <w:rPr>
          <w:rFonts w:hint="eastAsia" w:eastAsia="宋体"/>
          <w:b/>
          <w:bCs/>
          <w:lang w:val="en-US" w:eastAsia="zh-CN"/>
        </w:rPr>
        <w:t xml:space="preserve"> e.g. 4 symbols, which can be confirmed after RAN4 feedback the antenna switching time requirement.</w:t>
      </w:r>
    </w:p>
    <w:p>
      <w:pPr>
        <w:jc w:val="both"/>
        <w:rPr>
          <w:rFonts w:hint="default"/>
          <w:b/>
          <w:bCs/>
          <w:color w:val="auto"/>
          <w:lang w:val="en-US" w:eastAsia="zh-CN"/>
        </w:rPr>
      </w:pPr>
      <w:r>
        <w:rPr>
          <w:rFonts w:hint="eastAsia"/>
          <w:b/>
          <w:bCs/>
          <w:color w:val="auto"/>
          <w:lang w:val="en-US" w:eastAsia="zh-CN"/>
        </w:rPr>
        <w:t xml:space="preserve">Proposal 3: Introduce a UE capability </w:t>
      </w:r>
      <w:r>
        <w:rPr>
          <w:rFonts w:hint="eastAsia" w:eastAsia="宋体"/>
          <w:b/>
          <w:bCs/>
          <w:color w:val="auto"/>
          <w:lang w:val="en-US" w:eastAsia="zh-CN"/>
        </w:rPr>
        <w:t>for the UE reporting the beam switching time it can support b</w:t>
      </w:r>
      <w:r>
        <w:rPr>
          <w:rFonts w:hint="eastAsia"/>
          <w:b/>
          <w:bCs/>
          <w:color w:val="auto"/>
          <w:lang w:val="en-US" w:eastAsia="zh-CN"/>
        </w:rPr>
        <w:t>efore RAN4 makes a final conclusion on beam switching time.</w:t>
      </w:r>
    </w:p>
    <w:p>
      <w:pPr>
        <w:jc w:val="both"/>
        <w:rPr>
          <w:rFonts w:hint="eastAsia" w:ascii="Times New Roman" w:hAnsi="Times New Roman" w:eastAsia="宋体" w:cs="Times New Roman"/>
          <w:b/>
          <w:bCs/>
          <w:iCs/>
          <w:szCs w:val="20"/>
          <w:lang w:val="en-US" w:eastAsia="zh-CN"/>
        </w:rPr>
      </w:pPr>
      <w:r>
        <w:rPr>
          <w:rFonts w:hint="eastAsia"/>
          <w:b/>
          <w:bCs/>
          <w:color w:val="auto"/>
          <w:lang w:val="en-US" w:eastAsia="zh-CN"/>
        </w:rPr>
        <w:t xml:space="preserve">Proposal 4: </w:t>
      </w:r>
      <w:r>
        <w:rPr>
          <w:rFonts w:ascii="Times New Roman" w:hAnsi="Times New Roman" w:cs="Times New Roman"/>
          <w:b/>
          <w:bCs/>
          <w:iCs/>
          <w:szCs w:val="20"/>
        </w:rPr>
        <w:t>For single-TRP with multi-PDSCH cross-carrier scheduling</w:t>
      </w:r>
      <w:r>
        <w:rPr>
          <w:rFonts w:hint="eastAsia" w:ascii="Times New Roman" w:hAnsi="Times New Roman" w:eastAsia="宋体" w:cs="Times New Roman"/>
          <w:b/>
          <w:bCs/>
          <w:iCs/>
          <w:szCs w:val="20"/>
          <w:lang w:val="en-US" w:eastAsia="zh-CN"/>
        </w:rPr>
        <w:t>:</w:t>
      </w:r>
    </w:p>
    <w:p>
      <w:pPr>
        <w:numPr>
          <w:ilvl w:val="0"/>
          <w:numId w:val="15"/>
        </w:numPr>
        <w:rPr>
          <w:rFonts w:ascii="Times New Roman" w:hAnsi="Times New Roman" w:cs="Times New Roman"/>
          <w:b/>
          <w:bCs/>
          <w:iCs/>
          <w:szCs w:val="20"/>
        </w:rPr>
      </w:pPr>
      <w:r>
        <w:rPr>
          <w:rFonts w:ascii="Times New Roman" w:hAnsi="Times New Roman" w:cs="Times New Roman"/>
          <w:b/>
          <w:bCs/>
          <w:iCs/>
          <w:szCs w:val="20"/>
        </w:rPr>
        <w:t>Multiple QCL assumptions are applied as per Rel-16</w:t>
      </w:r>
    </w:p>
    <w:p>
      <w:pPr>
        <w:numPr>
          <w:ilvl w:val="1"/>
          <w:numId w:val="15"/>
        </w:numPr>
        <w:rPr>
          <w:rFonts w:ascii="Times New Roman" w:hAnsi="Times New Roman" w:cs="Times New Roman"/>
          <w:b/>
          <w:bCs/>
          <w:iCs/>
          <w:szCs w:val="20"/>
        </w:rPr>
      </w:pPr>
      <w:r>
        <w:rPr>
          <w:rFonts w:ascii="Times New Roman" w:hAnsi="Times New Roman" w:cs="Times New Roman"/>
          <w:b/>
          <w:bCs/>
          <w:iCs/>
          <w:szCs w:val="20"/>
        </w:rPr>
        <w:t>The following Rel-16 rule is applied for each scheduled PDSCH i</w:t>
      </w:r>
      <w:r>
        <w:rPr>
          <w:rFonts w:ascii="Times New Roman" w:hAnsi="Times New Roman" w:eastAsia="Times New Roman" w:cs="Times New Roman"/>
          <w:b/>
          <w:bCs/>
          <w:szCs w:val="20"/>
        </w:rPr>
        <w:t xml:space="preserve">f the UE is not configured with </w:t>
      </w:r>
      <w:r>
        <w:rPr>
          <w:rFonts w:ascii="Times New Roman" w:hAnsi="Times New Roman" w:eastAsia="Times New Roman" w:cs="Times New Roman"/>
          <w:b/>
          <w:bCs/>
          <w:i/>
          <w:iCs/>
          <w:szCs w:val="20"/>
        </w:rPr>
        <w:t>enableDefaultBeamForCCS</w:t>
      </w:r>
      <w:r>
        <w:rPr>
          <w:rFonts w:ascii="Times New Roman" w:hAnsi="Times New Roman" w:cs="Times New Roman"/>
          <w:b/>
          <w:bCs/>
          <w:iCs/>
          <w:szCs w:val="20"/>
        </w:rPr>
        <w:t>:</w:t>
      </w:r>
    </w:p>
    <w:p>
      <w:pPr>
        <w:ind w:left="1800"/>
        <w:rPr>
          <w:rFonts w:ascii="Times New Roman" w:hAnsi="Times New Roman" w:cs="Times New Roman"/>
          <w:b/>
          <w:bCs/>
          <w:szCs w:val="20"/>
        </w:rPr>
      </w:pPr>
      <w:r>
        <w:rPr>
          <w:rFonts w:ascii="Times New Roman" w:hAnsi="Times New Roman" w:eastAsia="宋体" w:cs="Times New Roman"/>
          <w:b/>
          <w:bCs/>
          <w:szCs w:val="20"/>
          <w:lang w:val="en-GB"/>
        </w:rPr>
        <w:t xml:space="preserve">When the UE is configured with CORESET associated with a search space set for cross-carrier scheduling and the UE is not configured with </w:t>
      </w:r>
      <w:r>
        <w:rPr>
          <w:rFonts w:ascii="Times New Roman" w:hAnsi="Times New Roman" w:eastAsia="宋体" w:cs="Times New Roman"/>
          <w:b/>
          <w:bCs/>
          <w:i/>
          <w:szCs w:val="20"/>
          <w:lang w:val="en-GB"/>
        </w:rPr>
        <w:t>enableDefaultBeamForCCS</w:t>
      </w:r>
      <w:r>
        <w:rPr>
          <w:rFonts w:ascii="Times New Roman" w:hAnsi="Times New Roman" w:eastAsia="宋体" w:cs="Times New Roman"/>
          <w:b/>
          <w:bCs/>
          <w:szCs w:val="20"/>
          <w:lang w:val="en-GB"/>
        </w:rPr>
        <w:t xml:space="preserve">, the UE expects </w:t>
      </w:r>
      <w:r>
        <w:rPr>
          <w:rFonts w:ascii="Times New Roman" w:hAnsi="Times New Roman" w:eastAsia="宋体" w:cs="Times New Roman"/>
          <w:b/>
          <w:bCs/>
          <w:i/>
          <w:szCs w:val="20"/>
          <w:lang w:val="en-GB"/>
        </w:rPr>
        <w:t xml:space="preserve">tci-PresentInDCI </w:t>
      </w:r>
      <w:r>
        <w:rPr>
          <w:rFonts w:ascii="Times New Roman" w:hAnsi="Times New Roman" w:eastAsia="宋体" w:cs="Times New Roman"/>
          <w:b/>
          <w:bCs/>
          <w:szCs w:val="20"/>
          <w:lang w:val="en-GB"/>
        </w:rPr>
        <w:t xml:space="preserve">is set as 'enabled' </w:t>
      </w:r>
      <w:r>
        <w:rPr>
          <w:rFonts w:ascii="Times New Roman" w:hAnsi="Times New Roman" w:eastAsia="宋体" w:cs="Times New Roman"/>
          <w:b/>
          <w:bCs/>
          <w:strike/>
          <w:szCs w:val="20"/>
          <w:lang w:val="en-GB"/>
        </w:rPr>
        <w:t xml:space="preserve">or </w:t>
      </w:r>
      <w:r>
        <w:rPr>
          <w:rFonts w:ascii="Times New Roman" w:hAnsi="Times New Roman" w:eastAsia="宋体" w:cs="Times New Roman"/>
          <w:b/>
          <w:bCs/>
          <w:i/>
          <w:strike/>
          <w:szCs w:val="20"/>
          <w:lang w:val="en-GB"/>
        </w:rPr>
        <w:t xml:space="preserve">tci-PresentDCI-1-2 </w:t>
      </w:r>
      <w:r>
        <w:rPr>
          <w:rFonts w:ascii="Times New Roman" w:hAnsi="Times New Roman" w:eastAsia="宋体" w:cs="Times New Roman"/>
          <w:b/>
          <w:bCs/>
          <w:strike/>
          <w:szCs w:val="20"/>
          <w:lang w:val="en-GB"/>
        </w:rPr>
        <w:t>is configured</w:t>
      </w:r>
      <w:r>
        <w:rPr>
          <w:rFonts w:ascii="Times New Roman" w:hAnsi="Times New Roman" w:eastAsia="宋体" w:cs="Times New Roman"/>
          <w:b/>
          <w:bCs/>
          <w:strike/>
          <w:dstrike w:val="0"/>
          <w:szCs w:val="20"/>
          <w:lang w:val="en-GB"/>
        </w:rPr>
        <w:t xml:space="preserve"> for the CORESET</w:t>
      </w:r>
      <w:r>
        <w:rPr>
          <w:rFonts w:ascii="Times New Roman" w:hAnsi="Times New Roman" w:eastAsia="宋体" w:cs="Times New Roman"/>
          <w:b/>
          <w:bCs/>
          <w:szCs w:val="20"/>
          <w:lang w:val="en-GB"/>
        </w:rPr>
        <w:t xml:space="preserve">, and if one or more of the TCI states configured for the serving cell scheduled by the search space set contains </w:t>
      </w:r>
      <w:r>
        <w:rPr>
          <w:rFonts w:ascii="Times New Roman" w:hAnsi="Times New Roman" w:eastAsia="宋体" w:cs="Times New Roman"/>
          <w:b/>
          <w:bCs/>
          <w:i/>
          <w:color w:val="000000"/>
          <w:szCs w:val="20"/>
          <w:lang w:val="en-GB"/>
        </w:rPr>
        <w:t>qcl-Type</w:t>
      </w:r>
      <w:r>
        <w:rPr>
          <w:rFonts w:ascii="Times New Roman" w:hAnsi="Times New Roman" w:eastAsia="宋体" w:cs="Times New Roman"/>
          <w:b/>
          <w:bCs/>
          <w:color w:val="000000"/>
          <w:szCs w:val="20"/>
          <w:lang w:val="en-GB"/>
        </w:rPr>
        <w:t xml:space="preserve"> set to</w:t>
      </w:r>
      <w:r>
        <w:rPr>
          <w:rFonts w:ascii="Times New Roman" w:hAnsi="Times New Roman" w:eastAsia="宋体" w:cs="Times New Roman"/>
          <w:b/>
          <w:bCs/>
          <w:szCs w:val="20"/>
          <w:lang w:val="en-GB"/>
        </w:rPr>
        <w:t xml:space="preserve"> 'typeD', the UE expects the time offset between the reception of the detected PDCCH in the search space set and the corresponding PDSCH is larger than or equal to the threshold </w:t>
      </w:r>
      <w:r>
        <w:rPr>
          <w:rFonts w:ascii="Times New Roman" w:hAnsi="Times New Roman" w:eastAsia="宋体" w:cs="Times New Roman"/>
          <w:b/>
          <w:bCs/>
          <w:i/>
          <w:color w:val="000000"/>
          <w:szCs w:val="20"/>
          <w:lang w:val="en-GB"/>
        </w:rPr>
        <w:t>timeDurationForQCL</w:t>
      </w:r>
      <w:r>
        <w:rPr>
          <w:rFonts w:ascii="Times New Roman" w:hAnsi="Times New Roman" w:cs="Times New Roman"/>
          <w:b/>
          <w:bCs/>
          <w:szCs w:val="20"/>
        </w:rPr>
        <w:t>.</w:t>
      </w:r>
    </w:p>
    <w:p>
      <w:pPr>
        <w:numPr>
          <w:ilvl w:val="1"/>
          <w:numId w:val="15"/>
        </w:numPr>
        <w:rPr>
          <w:rFonts w:ascii="Times New Roman" w:hAnsi="Times New Roman" w:cs="Times New Roman"/>
          <w:b/>
          <w:bCs/>
          <w:iCs/>
          <w:szCs w:val="20"/>
        </w:rPr>
      </w:pPr>
      <w:r>
        <w:rPr>
          <w:rFonts w:ascii="Times New Roman" w:hAnsi="Times New Roman" w:cs="Times New Roman"/>
          <w:b/>
          <w:bCs/>
          <w:iCs/>
          <w:szCs w:val="20"/>
        </w:rPr>
        <w:t>The following Rel-16 rule is applied for each scheduled PDSCH i</w:t>
      </w:r>
      <w:r>
        <w:rPr>
          <w:rFonts w:ascii="Times New Roman" w:hAnsi="Times New Roman" w:eastAsia="Times New Roman" w:cs="Times New Roman"/>
          <w:b/>
          <w:bCs/>
          <w:szCs w:val="20"/>
        </w:rPr>
        <w:t xml:space="preserve">f the UE is configured with </w:t>
      </w:r>
      <w:r>
        <w:rPr>
          <w:rFonts w:ascii="Times New Roman" w:hAnsi="Times New Roman" w:eastAsia="Times New Roman" w:cs="Times New Roman"/>
          <w:b/>
          <w:bCs/>
          <w:i/>
          <w:iCs/>
          <w:szCs w:val="20"/>
        </w:rPr>
        <w:t>enableDefaultBeamForCCS</w:t>
      </w:r>
      <w:r>
        <w:rPr>
          <w:rFonts w:ascii="Times New Roman" w:hAnsi="Times New Roman" w:cs="Times New Roman"/>
          <w:b/>
          <w:bCs/>
          <w:iCs/>
          <w:szCs w:val="20"/>
        </w:rPr>
        <w:t>:</w:t>
      </w:r>
    </w:p>
    <w:p>
      <w:pPr>
        <w:pStyle w:val="51"/>
        <w:ind w:left="1800" w:firstLine="0"/>
        <w:rPr>
          <w:rFonts w:ascii="Times New Roman" w:hAnsi="Times New Roman" w:cs="Times New Roman"/>
          <w:b/>
          <w:bCs/>
          <w:szCs w:val="20"/>
        </w:rPr>
      </w:pPr>
      <w:r>
        <w:rPr>
          <w:rFonts w:ascii="Times New Roman" w:hAnsi="Times New Roman" w:cs="Times New Roman"/>
          <w:b/>
          <w:bCs/>
          <w:color w:val="000000"/>
          <w:szCs w:val="20"/>
          <w:lang w:val="en-GB"/>
        </w:rPr>
        <w:t>W</w:t>
      </w:r>
      <w:r>
        <w:rPr>
          <w:rFonts w:ascii="Times New Roman" w:hAnsi="Times New Roman" w:cs="Times New Roman"/>
          <w:b/>
          <w:bCs/>
          <w:color w:val="000000"/>
          <w:szCs w:val="20"/>
        </w:rPr>
        <w:t xml:space="preserve">hen the UE is configured with </w:t>
      </w:r>
      <w:r>
        <w:rPr>
          <w:rFonts w:ascii="Times New Roman" w:hAnsi="Times New Roman" w:cs="Times New Roman"/>
          <w:b/>
          <w:bCs/>
          <w:i/>
          <w:iCs/>
          <w:color w:val="000000"/>
          <w:szCs w:val="20"/>
        </w:rPr>
        <w:t>enableDefaultBeamForCCS</w:t>
      </w:r>
      <w:r>
        <w:rPr>
          <w:rFonts w:ascii="Times New Roman" w:hAnsi="Times New Roman" w:cs="Times New Roman"/>
          <w:b/>
          <w:bCs/>
          <w:color w:val="000000"/>
          <w:szCs w:val="20"/>
        </w:rPr>
        <w:t xml:space="preserve">, </w:t>
      </w:r>
      <w:r>
        <w:rPr>
          <w:rFonts w:ascii="Times New Roman" w:hAnsi="Times New Roman" w:cs="Times New Roman"/>
          <w:b/>
          <w:bCs/>
          <w:color w:val="000000"/>
          <w:szCs w:val="20"/>
          <w:lang w:val="en-GB"/>
        </w:rPr>
        <w:t>if</w:t>
      </w:r>
      <w:r>
        <w:rPr>
          <w:rFonts w:ascii="Times New Roman" w:hAnsi="Times New Roman" w:cs="Times New Roman"/>
          <w:b/>
          <w:bCs/>
          <w:color w:val="000000"/>
          <w:szCs w:val="20"/>
        </w:rPr>
        <w:t xml:space="preserve"> the offset between the reception of the DL DCI and the corresponding PDSCH is less than the threshold </w:t>
      </w:r>
      <w:r>
        <w:rPr>
          <w:rFonts w:ascii="Times New Roman" w:hAnsi="Times New Roman" w:cs="Times New Roman"/>
          <w:b/>
          <w:bCs/>
          <w:i/>
          <w:color w:val="000000"/>
          <w:szCs w:val="20"/>
        </w:rPr>
        <w:t>timeDurationForQCL,</w:t>
      </w:r>
      <w:r>
        <w:rPr>
          <w:rFonts w:ascii="Times New Roman" w:hAnsi="Times New Roman" w:cs="Times New Roman"/>
          <w:b/>
          <w:bCs/>
          <w:color w:val="000000"/>
          <w:szCs w:val="20"/>
        </w:rPr>
        <w:t xml:space="preserve"> or if the DL DCI does not have the TCI field present, the UE obtains its QCL assumption for the scheduled PDSCH from the activated TCI state with the lowest ID applicable to PDSCH in the active BWP of the scheduled cell.</w:t>
      </w:r>
    </w:p>
    <w:p>
      <w:pPr>
        <w:numPr>
          <w:ilvl w:val="1"/>
          <w:numId w:val="15"/>
        </w:numPr>
        <w:rPr>
          <w:rFonts w:hint="eastAsia"/>
          <w:color w:val="auto"/>
          <w:lang w:val="en-US" w:eastAsia="zh-CN"/>
        </w:rPr>
      </w:pPr>
      <w:r>
        <w:rPr>
          <w:rFonts w:ascii="Times New Roman" w:hAnsi="Times New Roman" w:cs="Times New Roman"/>
          <w:b/>
          <w:bCs/>
          <w:iCs/>
          <w:szCs w:val="20"/>
        </w:rPr>
        <w:t xml:space="preserve">The Rel-16 rule corresponding to </w:t>
      </w:r>
      <w:r>
        <w:rPr>
          <w:rFonts w:ascii="Times New Roman" w:hAnsi="Times New Roman" w:cs="Times New Roman"/>
          <w:b/>
          <w:bCs/>
          <w:i/>
          <w:szCs w:val="20"/>
        </w:rPr>
        <w:t>tci-PresentInDCI</w:t>
      </w:r>
      <w:r>
        <w:rPr>
          <w:rFonts w:ascii="Times New Roman" w:hAnsi="Times New Roman" w:cs="Times New Roman"/>
          <w:b/>
          <w:bCs/>
          <w:iCs/>
          <w:szCs w:val="20"/>
        </w:rPr>
        <w:t xml:space="preserve"> present and not present is applied for each PDSCH ≥ timeDurationForQCL i</w:t>
      </w:r>
      <w:r>
        <w:rPr>
          <w:rFonts w:ascii="Times New Roman" w:hAnsi="Times New Roman" w:eastAsia="Times New Roman" w:cs="Times New Roman"/>
          <w:b/>
          <w:bCs/>
          <w:szCs w:val="20"/>
        </w:rPr>
        <w:t xml:space="preserve">f the UE is configured with </w:t>
      </w:r>
      <w:r>
        <w:rPr>
          <w:rFonts w:ascii="Times New Roman" w:hAnsi="Times New Roman" w:eastAsia="Times New Roman" w:cs="Times New Roman"/>
          <w:b/>
          <w:bCs/>
          <w:i/>
          <w:iCs/>
          <w:szCs w:val="20"/>
        </w:rPr>
        <w:t>enableDefaultBeamForCCS.</w:t>
      </w:r>
    </w:p>
    <w:p>
      <w:pPr>
        <w:pStyle w:val="2"/>
        <w:spacing w:before="120" w:after="120" w:line="240" w:lineRule="auto"/>
        <w:jc w:val="both"/>
        <w:rPr>
          <w:rFonts w:ascii="Times New Roman" w:hAnsi="Times New Roman" w:eastAsia="宋体"/>
          <w:b/>
          <w:color w:val="auto"/>
          <w:sz w:val="32"/>
          <w:szCs w:val="32"/>
          <w:lang w:val="en-US" w:eastAsia="zh-CN"/>
        </w:rPr>
      </w:pPr>
      <w:r>
        <w:rPr>
          <w:rFonts w:hint="eastAsia" w:ascii="Times New Roman" w:hAnsi="Times New Roman" w:eastAsia="宋体"/>
          <w:b/>
          <w:color w:val="auto"/>
          <w:sz w:val="32"/>
          <w:szCs w:val="32"/>
          <w:lang w:val="en-US" w:eastAsia="zh-CN"/>
        </w:rPr>
        <w:t xml:space="preserve"> Reference</w:t>
      </w:r>
    </w:p>
    <w:p>
      <w:pPr>
        <w:widowControl w:val="0"/>
        <w:numPr>
          <w:ilvl w:val="0"/>
          <w:numId w:val="16"/>
        </w:numPr>
        <w:autoSpaceDE w:val="0"/>
        <w:autoSpaceDN w:val="0"/>
        <w:adjustRightInd w:val="0"/>
        <w:spacing w:after="72" w:afterLines="30" w:line="240" w:lineRule="auto"/>
        <w:jc w:val="both"/>
        <w:rPr>
          <w:color w:val="auto"/>
          <w:sz w:val="20"/>
          <w:szCs w:val="20"/>
          <w:lang w:val="en-US" w:eastAsia="zh-CN"/>
        </w:rPr>
      </w:pPr>
      <w:r>
        <w:rPr>
          <w:color w:val="auto"/>
          <w:sz w:val="20"/>
          <w:szCs w:val="20"/>
          <w:lang w:val="en-US" w:eastAsia="zh-CN"/>
        </w:rPr>
        <w:t>R1-210</w:t>
      </w:r>
      <w:r>
        <w:rPr>
          <w:rFonts w:hint="eastAsia"/>
          <w:color w:val="auto"/>
          <w:sz w:val="20"/>
          <w:szCs w:val="20"/>
          <w:lang w:val="en-US" w:eastAsia="zh-CN"/>
        </w:rPr>
        <w:t xml:space="preserve">6425, </w:t>
      </w:r>
      <w:r>
        <w:rPr>
          <w:color w:val="auto"/>
          <w:sz w:val="20"/>
          <w:szCs w:val="20"/>
          <w:lang w:val="en-US" w:eastAsia="zh-CN"/>
        </w:rPr>
        <w:t>“LS on beam switching gap for 60 GHz band”</w:t>
      </w:r>
      <w:r>
        <w:rPr>
          <w:rFonts w:hint="eastAsia"/>
          <w:color w:val="auto"/>
          <w:sz w:val="20"/>
          <w:szCs w:val="20"/>
          <w:lang w:val="en-US" w:eastAsia="zh-CN"/>
        </w:rPr>
        <w:t>, RAN4, Apple</w:t>
      </w:r>
    </w:p>
    <w:p>
      <w:pPr>
        <w:widowControl w:val="0"/>
        <w:numPr>
          <w:ilvl w:val="255"/>
          <w:numId w:val="0"/>
        </w:numPr>
        <w:autoSpaceDE w:val="0"/>
        <w:autoSpaceDN w:val="0"/>
        <w:adjustRightInd w:val="0"/>
        <w:spacing w:after="72" w:afterLines="30" w:line="240" w:lineRule="auto"/>
        <w:jc w:val="both"/>
        <w:rPr>
          <w:color w:val="auto"/>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2</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1">
    <w:nsid w:val="0D67560A"/>
    <w:multiLevelType w:val="multilevel"/>
    <w:tmpl w:val="0D67560A"/>
    <w:lvl w:ilvl="0" w:tentative="0">
      <w:start w:val="1"/>
      <w:numFmt w:val="decimal"/>
      <w:pStyle w:val="128"/>
      <w:lvlText w:val="[%1]"/>
      <w:lvlJc w:val="left"/>
      <w:pPr>
        <w:tabs>
          <w:tab w:val="left" w:pos="1080"/>
        </w:tabs>
        <w:ind w:left="0" w:firstLine="0"/>
      </w:pPr>
      <w:rPr>
        <w:rFonts w:hint="default" w:ascii="Times New Roman Bold" w:hAnsi="Times New Roman Bold"/>
        <w:b/>
        <w:i w:val="0"/>
        <w:color w:val="FFFFFF" w:themeColor="background1"/>
        <w:sz w:val="24"/>
        <w:szCs w:val="24"/>
        <w:lang w:val="en"/>
        <w14:textFill>
          <w14:solidFill>
            <w14:schemeClr w14:val="bg1"/>
          </w14:solidFill>
        </w14:textFill>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3">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28061BB2"/>
    <w:multiLevelType w:val="multilevel"/>
    <w:tmpl w:val="28061B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5177C94"/>
    <w:multiLevelType w:val="multilevel"/>
    <w:tmpl w:val="35177C9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8">
    <w:nsid w:val="4FFD738B"/>
    <w:multiLevelType w:val="multilevel"/>
    <w:tmpl w:val="4FFD738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Times New Roman"/>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Times New Roman"/>
      </w:rPr>
    </w:lvl>
    <w:lvl w:ilvl="8" w:tentative="0">
      <w:start w:val="1"/>
      <w:numFmt w:val="bullet"/>
      <w:lvlText w:val=""/>
      <w:lvlJc w:val="left"/>
      <w:pPr>
        <w:ind w:left="6480" w:hanging="360"/>
      </w:pPr>
      <w:rPr>
        <w:rFonts w:hint="default" w:ascii="Wingdings" w:hAnsi="Wingdings"/>
      </w:rPr>
    </w:lvl>
  </w:abstractNum>
  <w:abstractNum w:abstractNumId="9">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0">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1">
    <w:nsid w:val="70146DC0"/>
    <w:multiLevelType w:val="multilevel"/>
    <w:tmpl w:val="70146DC0"/>
    <w:lvl w:ilvl="0" w:tentative="0">
      <w:start w:val="1"/>
      <w:numFmt w:val="bullet"/>
      <w:pStyle w:val="12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2">
    <w:nsid w:val="768224FD"/>
    <w:multiLevelType w:val="multilevel"/>
    <w:tmpl w:val="768224F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6FB55C6"/>
    <w:multiLevelType w:val="multilevel"/>
    <w:tmpl w:val="76FB55C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4">
    <w:nsid w:val="77DCE42B"/>
    <w:multiLevelType w:val="multilevel"/>
    <w:tmpl w:val="77DCE4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7"/>
  </w:num>
  <w:num w:numId="3">
    <w:abstractNumId w:val="10"/>
  </w:num>
  <w:num w:numId="4">
    <w:abstractNumId w:val="15"/>
  </w:num>
  <w:num w:numId="5">
    <w:abstractNumId w:val="3"/>
  </w:num>
  <w:num w:numId="6">
    <w:abstractNumId w:val="9"/>
  </w:num>
  <w:num w:numId="7">
    <w:abstractNumId w:val="6"/>
  </w:num>
  <w:num w:numId="8">
    <w:abstractNumId w:val="0"/>
  </w:num>
  <w:num w:numId="9">
    <w:abstractNumId w:val="11"/>
  </w:num>
  <w:num w:numId="10">
    <w:abstractNumId w:val="1"/>
  </w:num>
  <w:num w:numId="11">
    <w:abstractNumId w:val="5"/>
  </w:num>
  <w:num w:numId="12">
    <w:abstractNumId w:val="13"/>
  </w:num>
  <w:num w:numId="13">
    <w:abstractNumId w:val="12"/>
  </w:num>
  <w:num w:numId="14">
    <w:abstractNumId w:val="4"/>
  </w:num>
  <w:num w:numId="15">
    <w:abstractNumId w:val="8"/>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720"/>
  <w:hyphenationZone w:val="425"/>
  <w:drawingGridHorizontalSpacing w:val="100"/>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A99"/>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36D"/>
    <w:rsid w:val="0003455D"/>
    <w:rsid w:val="000346B2"/>
    <w:rsid w:val="00034872"/>
    <w:rsid w:val="0003496E"/>
    <w:rsid w:val="00034A9D"/>
    <w:rsid w:val="00034C56"/>
    <w:rsid w:val="00034DC8"/>
    <w:rsid w:val="00034FD8"/>
    <w:rsid w:val="0003515F"/>
    <w:rsid w:val="00035256"/>
    <w:rsid w:val="0003529E"/>
    <w:rsid w:val="00035356"/>
    <w:rsid w:val="00035852"/>
    <w:rsid w:val="000359AB"/>
    <w:rsid w:val="00035AFD"/>
    <w:rsid w:val="00035CF2"/>
    <w:rsid w:val="0003643E"/>
    <w:rsid w:val="00036664"/>
    <w:rsid w:val="00036A14"/>
    <w:rsid w:val="00036B60"/>
    <w:rsid w:val="00036BCD"/>
    <w:rsid w:val="000370A8"/>
    <w:rsid w:val="000374E7"/>
    <w:rsid w:val="000374F7"/>
    <w:rsid w:val="0003756D"/>
    <w:rsid w:val="000378C9"/>
    <w:rsid w:val="000379F4"/>
    <w:rsid w:val="00037A15"/>
    <w:rsid w:val="00037E5D"/>
    <w:rsid w:val="00037EE8"/>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921"/>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25AC"/>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923"/>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19E"/>
    <w:rsid w:val="000B1361"/>
    <w:rsid w:val="000B1611"/>
    <w:rsid w:val="000B17D4"/>
    <w:rsid w:val="000B1AA5"/>
    <w:rsid w:val="000B1AC7"/>
    <w:rsid w:val="000B1C69"/>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19"/>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5E0"/>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3D8"/>
    <w:rsid w:val="0013055B"/>
    <w:rsid w:val="00130661"/>
    <w:rsid w:val="0013087F"/>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712"/>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29"/>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75"/>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A92"/>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5EB9"/>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6FCC"/>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584"/>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7D4"/>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B7DB5"/>
    <w:rsid w:val="002C00D8"/>
    <w:rsid w:val="002C0D5B"/>
    <w:rsid w:val="002C0E1F"/>
    <w:rsid w:val="002C0ECF"/>
    <w:rsid w:val="002C0F3D"/>
    <w:rsid w:val="002C14E7"/>
    <w:rsid w:val="002C1B49"/>
    <w:rsid w:val="002C1CF6"/>
    <w:rsid w:val="002C20FD"/>
    <w:rsid w:val="002C2B1E"/>
    <w:rsid w:val="002C2B48"/>
    <w:rsid w:val="002C2BB9"/>
    <w:rsid w:val="002C2DD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02D"/>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560"/>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4A2"/>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CD8"/>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8A3"/>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93F"/>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4F1"/>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4F"/>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B22"/>
    <w:rsid w:val="004F6CF8"/>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99C"/>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5F1"/>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3F1C"/>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6B8"/>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45"/>
    <w:rsid w:val="005B4473"/>
    <w:rsid w:val="005B451C"/>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47E"/>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3B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0A"/>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D0A"/>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00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778"/>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0E4E"/>
    <w:rsid w:val="006A1125"/>
    <w:rsid w:val="006A14A3"/>
    <w:rsid w:val="006A1730"/>
    <w:rsid w:val="006A17B2"/>
    <w:rsid w:val="006A17C4"/>
    <w:rsid w:val="006A1AA3"/>
    <w:rsid w:val="006A1BF1"/>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56"/>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5DC"/>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2E"/>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C7EAB"/>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5A3"/>
    <w:rsid w:val="006E3846"/>
    <w:rsid w:val="006E38EB"/>
    <w:rsid w:val="006E3A4F"/>
    <w:rsid w:val="006E3D67"/>
    <w:rsid w:val="006E3F6E"/>
    <w:rsid w:val="006E40CA"/>
    <w:rsid w:val="006E446B"/>
    <w:rsid w:val="006E44D7"/>
    <w:rsid w:val="006E453B"/>
    <w:rsid w:val="006E45B7"/>
    <w:rsid w:val="006E4D5A"/>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CDA"/>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BCC"/>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26E"/>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9BC"/>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5FD9"/>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6CFA"/>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4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574"/>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0F0D"/>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406"/>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846"/>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922"/>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1E3"/>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1E6"/>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01"/>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4E5B"/>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A3F"/>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7F1"/>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D7EB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6F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676"/>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0"/>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2A9"/>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EB2"/>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2F14"/>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7AE"/>
    <w:rsid w:val="00C23AE1"/>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6D0A"/>
    <w:rsid w:val="00C47503"/>
    <w:rsid w:val="00C47731"/>
    <w:rsid w:val="00C477A5"/>
    <w:rsid w:val="00C4789E"/>
    <w:rsid w:val="00C47A4E"/>
    <w:rsid w:val="00C47C95"/>
    <w:rsid w:val="00C5000D"/>
    <w:rsid w:val="00C506CE"/>
    <w:rsid w:val="00C50DC1"/>
    <w:rsid w:val="00C50E85"/>
    <w:rsid w:val="00C517E3"/>
    <w:rsid w:val="00C519BE"/>
    <w:rsid w:val="00C51EF0"/>
    <w:rsid w:val="00C5280F"/>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4"/>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8A"/>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39A"/>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1AB"/>
    <w:rsid w:val="00D20809"/>
    <w:rsid w:val="00D211EB"/>
    <w:rsid w:val="00D214FB"/>
    <w:rsid w:val="00D21A67"/>
    <w:rsid w:val="00D21B02"/>
    <w:rsid w:val="00D21DC0"/>
    <w:rsid w:val="00D21FB6"/>
    <w:rsid w:val="00D2202F"/>
    <w:rsid w:val="00D22711"/>
    <w:rsid w:val="00D22856"/>
    <w:rsid w:val="00D22A5B"/>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198"/>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6DCA"/>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258"/>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1DD"/>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4EE4"/>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1C"/>
    <w:rsid w:val="00E2536C"/>
    <w:rsid w:val="00E25429"/>
    <w:rsid w:val="00E25607"/>
    <w:rsid w:val="00E259DD"/>
    <w:rsid w:val="00E25F71"/>
    <w:rsid w:val="00E26125"/>
    <w:rsid w:val="00E26D22"/>
    <w:rsid w:val="00E2711A"/>
    <w:rsid w:val="00E27140"/>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787"/>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41"/>
    <w:rsid w:val="00E603C5"/>
    <w:rsid w:val="00E604FB"/>
    <w:rsid w:val="00E605A6"/>
    <w:rsid w:val="00E60843"/>
    <w:rsid w:val="00E6128A"/>
    <w:rsid w:val="00E61539"/>
    <w:rsid w:val="00E61D0E"/>
    <w:rsid w:val="00E622F8"/>
    <w:rsid w:val="00E62584"/>
    <w:rsid w:val="00E62628"/>
    <w:rsid w:val="00E6265C"/>
    <w:rsid w:val="00E6290B"/>
    <w:rsid w:val="00E62D75"/>
    <w:rsid w:val="00E63048"/>
    <w:rsid w:val="00E6331F"/>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DFD"/>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192"/>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63"/>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216"/>
    <w:rsid w:val="00EC465E"/>
    <w:rsid w:val="00EC47B4"/>
    <w:rsid w:val="00EC4C2E"/>
    <w:rsid w:val="00EC4D5B"/>
    <w:rsid w:val="00EC500A"/>
    <w:rsid w:val="00EC523A"/>
    <w:rsid w:val="00EC53EB"/>
    <w:rsid w:val="00EC56C4"/>
    <w:rsid w:val="00EC5852"/>
    <w:rsid w:val="00EC5C6F"/>
    <w:rsid w:val="00EC6190"/>
    <w:rsid w:val="00EC63ED"/>
    <w:rsid w:val="00EC64A0"/>
    <w:rsid w:val="00EC65F2"/>
    <w:rsid w:val="00EC660C"/>
    <w:rsid w:val="00EC66C1"/>
    <w:rsid w:val="00EC6716"/>
    <w:rsid w:val="00EC680E"/>
    <w:rsid w:val="00EC68DF"/>
    <w:rsid w:val="00EC6C42"/>
    <w:rsid w:val="00EC759D"/>
    <w:rsid w:val="00ED01DA"/>
    <w:rsid w:val="00ED042F"/>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5B3"/>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958"/>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BFE"/>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6B"/>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0F0A3E"/>
    <w:rsid w:val="01100347"/>
    <w:rsid w:val="01120C0E"/>
    <w:rsid w:val="01181D5F"/>
    <w:rsid w:val="011E1C44"/>
    <w:rsid w:val="01215A1B"/>
    <w:rsid w:val="01226A27"/>
    <w:rsid w:val="01275A84"/>
    <w:rsid w:val="01404759"/>
    <w:rsid w:val="014538E3"/>
    <w:rsid w:val="0151177E"/>
    <w:rsid w:val="015C3B59"/>
    <w:rsid w:val="015C568F"/>
    <w:rsid w:val="01627245"/>
    <w:rsid w:val="016A5E1B"/>
    <w:rsid w:val="0171781D"/>
    <w:rsid w:val="017313AC"/>
    <w:rsid w:val="017B323D"/>
    <w:rsid w:val="017D57AE"/>
    <w:rsid w:val="01843AD0"/>
    <w:rsid w:val="01881F4C"/>
    <w:rsid w:val="018A7039"/>
    <w:rsid w:val="018E422E"/>
    <w:rsid w:val="0191059C"/>
    <w:rsid w:val="01981676"/>
    <w:rsid w:val="019A214A"/>
    <w:rsid w:val="019D1223"/>
    <w:rsid w:val="01A16B04"/>
    <w:rsid w:val="01A43B5C"/>
    <w:rsid w:val="01AF097B"/>
    <w:rsid w:val="01BA5F39"/>
    <w:rsid w:val="01C326DA"/>
    <w:rsid w:val="01CD6175"/>
    <w:rsid w:val="01CF6472"/>
    <w:rsid w:val="01D7237F"/>
    <w:rsid w:val="01E90EAA"/>
    <w:rsid w:val="01E9562A"/>
    <w:rsid w:val="01F0730D"/>
    <w:rsid w:val="01F37778"/>
    <w:rsid w:val="01FC6829"/>
    <w:rsid w:val="02016BC8"/>
    <w:rsid w:val="02052204"/>
    <w:rsid w:val="0218641B"/>
    <w:rsid w:val="023D68E9"/>
    <w:rsid w:val="024D11F3"/>
    <w:rsid w:val="02567B4A"/>
    <w:rsid w:val="025A2B48"/>
    <w:rsid w:val="025B6E07"/>
    <w:rsid w:val="02622CBC"/>
    <w:rsid w:val="027A1CC7"/>
    <w:rsid w:val="02821AE1"/>
    <w:rsid w:val="0282269B"/>
    <w:rsid w:val="02837FA5"/>
    <w:rsid w:val="028438E6"/>
    <w:rsid w:val="028F7F84"/>
    <w:rsid w:val="029415F5"/>
    <w:rsid w:val="029E2B9A"/>
    <w:rsid w:val="02A078F6"/>
    <w:rsid w:val="02A738FD"/>
    <w:rsid w:val="02A90E94"/>
    <w:rsid w:val="02AC3B9C"/>
    <w:rsid w:val="02BC1004"/>
    <w:rsid w:val="02C20A5F"/>
    <w:rsid w:val="02D8254A"/>
    <w:rsid w:val="030C5E59"/>
    <w:rsid w:val="03127134"/>
    <w:rsid w:val="03131BEB"/>
    <w:rsid w:val="03180265"/>
    <w:rsid w:val="031923E9"/>
    <w:rsid w:val="031E7C2A"/>
    <w:rsid w:val="03244425"/>
    <w:rsid w:val="032F2781"/>
    <w:rsid w:val="03335414"/>
    <w:rsid w:val="03380EE2"/>
    <w:rsid w:val="034800C3"/>
    <w:rsid w:val="03763069"/>
    <w:rsid w:val="037D0817"/>
    <w:rsid w:val="038113F9"/>
    <w:rsid w:val="03876C33"/>
    <w:rsid w:val="0388345E"/>
    <w:rsid w:val="03901647"/>
    <w:rsid w:val="03A0019E"/>
    <w:rsid w:val="03A80B76"/>
    <w:rsid w:val="03AC7855"/>
    <w:rsid w:val="03B005F4"/>
    <w:rsid w:val="03B76952"/>
    <w:rsid w:val="03CF2B82"/>
    <w:rsid w:val="03E0522E"/>
    <w:rsid w:val="03E86B31"/>
    <w:rsid w:val="03F65997"/>
    <w:rsid w:val="03F719F0"/>
    <w:rsid w:val="04066AB8"/>
    <w:rsid w:val="041162ED"/>
    <w:rsid w:val="041562A8"/>
    <w:rsid w:val="041A6AB4"/>
    <w:rsid w:val="041B3782"/>
    <w:rsid w:val="041D3FE2"/>
    <w:rsid w:val="04210D8C"/>
    <w:rsid w:val="04364A60"/>
    <w:rsid w:val="043815C4"/>
    <w:rsid w:val="043B501A"/>
    <w:rsid w:val="04586E3A"/>
    <w:rsid w:val="045D7B5C"/>
    <w:rsid w:val="046861DC"/>
    <w:rsid w:val="04735957"/>
    <w:rsid w:val="04826009"/>
    <w:rsid w:val="048869A8"/>
    <w:rsid w:val="048F68A9"/>
    <w:rsid w:val="04995EB2"/>
    <w:rsid w:val="04B14C72"/>
    <w:rsid w:val="04C06E5C"/>
    <w:rsid w:val="04D12DFB"/>
    <w:rsid w:val="04D40D89"/>
    <w:rsid w:val="04D620B5"/>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7F0DF2"/>
    <w:rsid w:val="05841830"/>
    <w:rsid w:val="05876734"/>
    <w:rsid w:val="058843A5"/>
    <w:rsid w:val="05980A73"/>
    <w:rsid w:val="059D34CA"/>
    <w:rsid w:val="05B92FBE"/>
    <w:rsid w:val="05BC14EA"/>
    <w:rsid w:val="05D94EBE"/>
    <w:rsid w:val="05DE4683"/>
    <w:rsid w:val="05DF3F1B"/>
    <w:rsid w:val="05DF79CB"/>
    <w:rsid w:val="05E95F0A"/>
    <w:rsid w:val="05EA4E24"/>
    <w:rsid w:val="05EC4009"/>
    <w:rsid w:val="05ED35B8"/>
    <w:rsid w:val="05F074A4"/>
    <w:rsid w:val="05FB2CD3"/>
    <w:rsid w:val="060D5AA5"/>
    <w:rsid w:val="061A06CE"/>
    <w:rsid w:val="06261750"/>
    <w:rsid w:val="06276042"/>
    <w:rsid w:val="06340A05"/>
    <w:rsid w:val="063B1FB2"/>
    <w:rsid w:val="063D7168"/>
    <w:rsid w:val="06485014"/>
    <w:rsid w:val="06496A78"/>
    <w:rsid w:val="065E0C63"/>
    <w:rsid w:val="066F17E0"/>
    <w:rsid w:val="067A3DAD"/>
    <w:rsid w:val="06802650"/>
    <w:rsid w:val="0686332F"/>
    <w:rsid w:val="06864253"/>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0C6A"/>
    <w:rsid w:val="0735734E"/>
    <w:rsid w:val="07377DDC"/>
    <w:rsid w:val="07386D83"/>
    <w:rsid w:val="073B19BC"/>
    <w:rsid w:val="074A4044"/>
    <w:rsid w:val="074B35A5"/>
    <w:rsid w:val="07826DCD"/>
    <w:rsid w:val="07871DCC"/>
    <w:rsid w:val="078B07F9"/>
    <w:rsid w:val="078E4F4B"/>
    <w:rsid w:val="07944B29"/>
    <w:rsid w:val="079F3045"/>
    <w:rsid w:val="07AC7E7C"/>
    <w:rsid w:val="07B34910"/>
    <w:rsid w:val="07BB7897"/>
    <w:rsid w:val="07C76AEB"/>
    <w:rsid w:val="07CE47C1"/>
    <w:rsid w:val="07D62B24"/>
    <w:rsid w:val="08303AFF"/>
    <w:rsid w:val="08337F1B"/>
    <w:rsid w:val="083B21D6"/>
    <w:rsid w:val="08465770"/>
    <w:rsid w:val="084745D0"/>
    <w:rsid w:val="08476D2A"/>
    <w:rsid w:val="084A42E3"/>
    <w:rsid w:val="084C4B82"/>
    <w:rsid w:val="084D185F"/>
    <w:rsid w:val="084E1A17"/>
    <w:rsid w:val="0852789C"/>
    <w:rsid w:val="085D5801"/>
    <w:rsid w:val="0862758A"/>
    <w:rsid w:val="086A574E"/>
    <w:rsid w:val="08792428"/>
    <w:rsid w:val="087945D7"/>
    <w:rsid w:val="087E66D2"/>
    <w:rsid w:val="08807319"/>
    <w:rsid w:val="088E6842"/>
    <w:rsid w:val="08A83452"/>
    <w:rsid w:val="08B20EA3"/>
    <w:rsid w:val="08B574EC"/>
    <w:rsid w:val="08B57F92"/>
    <w:rsid w:val="08C447CA"/>
    <w:rsid w:val="08CE2E9E"/>
    <w:rsid w:val="08E279FE"/>
    <w:rsid w:val="08E539A8"/>
    <w:rsid w:val="08F72EC2"/>
    <w:rsid w:val="08FF3E43"/>
    <w:rsid w:val="09102F3A"/>
    <w:rsid w:val="09117C91"/>
    <w:rsid w:val="09134CB1"/>
    <w:rsid w:val="09253AF3"/>
    <w:rsid w:val="09275714"/>
    <w:rsid w:val="093120ED"/>
    <w:rsid w:val="094077F0"/>
    <w:rsid w:val="094A7455"/>
    <w:rsid w:val="09552E33"/>
    <w:rsid w:val="09566CA4"/>
    <w:rsid w:val="095C0D34"/>
    <w:rsid w:val="09736BC3"/>
    <w:rsid w:val="0974287E"/>
    <w:rsid w:val="09832AAA"/>
    <w:rsid w:val="0984338A"/>
    <w:rsid w:val="09876497"/>
    <w:rsid w:val="098B7640"/>
    <w:rsid w:val="098F1481"/>
    <w:rsid w:val="09904C1A"/>
    <w:rsid w:val="0998050D"/>
    <w:rsid w:val="099F5C87"/>
    <w:rsid w:val="09A918FF"/>
    <w:rsid w:val="09AF29E2"/>
    <w:rsid w:val="09DF01A9"/>
    <w:rsid w:val="09DF4DE6"/>
    <w:rsid w:val="09E15DEC"/>
    <w:rsid w:val="09E72ABF"/>
    <w:rsid w:val="09F3224C"/>
    <w:rsid w:val="09F5356A"/>
    <w:rsid w:val="09F756A5"/>
    <w:rsid w:val="09FB5032"/>
    <w:rsid w:val="0A007FB9"/>
    <w:rsid w:val="0A0248E2"/>
    <w:rsid w:val="0A197D7E"/>
    <w:rsid w:val="0A260017"/>
    <w:rsid w:val="0A350A2E"/>
    <w:rsid w:val="0A3940D5"/>
    <w:rsid w:val="0A44449B"/>
    <w:rsid w:val="0A613380"/>
    <w:rsid w:val="0A68565C"/>
    <w:rsid w:val="0A6F1719"/>
    <w:rsid w:val="0A750E8A"/>
    <w:rsid w:val="0A752211"/>
    <w:rsid w:val="0A7C07DD"/>
    <w:rsid w:val="0A7C4051"/>
    <w:rsid w:val="0A7D67BF"/>
    <w:rsid w:val="0A860C80"/>
    <w:rsid w:val="0A8D2821"/>
    <w:rsid w:val="0AAC726A"/>
    <w:rsid w:val="0ABB44F9"/>
    <w:rsid w:val="0AC139E2"/>
    <w:rsid w:val="0AC563E4"/>
    <w:rsid w:val="0AC65B07"/>
    <w:rsid w:val="0AC716D4"/>
    <w:rsid w:val="0ADD2D69"/>
    <w:rsid w:val="0ADF132F"/>
    <w:rsid w:val="0AE21A7A"/>
    <w:rsid w:val="0AEA5FE2"/>
    <w:rsid w:val="0AEF7192"/>
    <w:rsid w:val="0AF456BE"/>
    <w:rsid w:val="0AFF24CE"/>
    <w:rsid w:val="0B1543BB"/>
    <w:rsid w:val="0B215E24"/>
    <w:rsid w:val="0B257548"/>
    <w:rsid w:val="0B2920B8"/>
    <w:rsid w:val="0B294304"/>
    <w:rsid w:val="0B420FE1"/>
    <w:rsid w:val="0B4C3E35"/>
    <w:rsid w:val="0B4C64FA"/>
    <w:rsid w:val="0B4E0560"/>
    <w:rsid w:val="0B5431C9"/>
    <w:rsid w:val="0B5C20A7"/>
    <w:rsid w:val="0B6426D9"/>
    <w:rsid w:val="0B66128E"/>
    <w:rsid w:val="0B6913F3"/>
    <w:rsid w:val="0B6C3AAF"/>
    <w:rsid w:val="0B734270"/>
    <w:rsid w:val="0B7C2A1B"/>
    <w:rsid w:val="0B7C3C97"/>
    <w:rsid w:val="0B851AE2"/>
    <w:rsid w:val="0B995225"/>
    <w:rsid w:val="0BA077C8"/>
    <w:rsid w:val="0BB55819"/>
    <w:rsid w:val="0BC43EFA"/>
    <w:rsid w:val="0BD53636"/>
    <w:rsid w:val="0BDB773F"/>
    <w:rsid w:val="0BDC0F5C"/>
    <w:rsid w:val="0BDE1749"/>
    <w:rsid w:val="0BE54882"/>
    <w:rsid w:val="0BE64F43"/>
    <w:rsid w:val="0BE9464C"/>
    <w:rsid w:val="0BE96CDD"/>
    <w:rsid w:val="0BF17147"/>
    <w:rsid w:val="0BF22E42"/>
    <w:rsid w:val="0BF61FC1"/>
    <w:rsid w:val="0C0016BA"/>
    <w:rsid w:val="0C090EA4"/>
    <w:rsid w:val="0C0C05C8"/>
    <w:rsid w:val="0C0E3321"/>
    <w:rsid w:val="0C1C3753"/>
    <w:rsid w:val="0C29100E"/>
    <w:rsid w:val="0C30263B"/>
    <w:rsid w:val="0C3A46A5"/>
    <w:rsid w:val="0C473253"/>
    <w:rsid w:val="0C4E3D8E"/>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B844DF"/>
    <w:rsid w:val="0CCF6077"/>
    <w:rsid w:val="0CD6186B"/>
    <w:rsid w:val="0CE01ED0"/>
    <w:rsid w:val="0CEA4514"/>
    <w:rsid w:val="0CED5790"/>
    <w:rsid w:val="0CF61231"/>
    <w:rsid w:val="0D02400E"/>
    <w:rsid w:val="0D051F38"/>
    <w:rsid w:val="0D0C6566"/>
    <w:rsid w:val="0D1536F1"/>
    <w:rsid w:val="0D1E5FB2"/>
    <w:rsid w:val="0D204BC7"/>
    <w:rsid w:val="0D232014"/>
    <w:rsid w:val="0D276A0D"/>
    <w:rsid w:val="0D2B3E5D"/>
    <w:rsid w:val="0D396850"/>
    <w:rsid w:val="0D400B96"/>
    <w:rsid w:val="0D4C56D2"/>
    <w:rsid w:val="0D5378CE"/>
    <w:rsid w:val="0D727EA8"/>
    <w:rsid w:val="0D7946EA"/>
    <w:rsid w:val="0D834A5C"/>
    <w:rsid w:val="0D893EB2"/>
    <w:rsid w:val="0D8C4BC2"/>
    <w:rsid w:val="0D9C16DD"/>
    <w:rsid w:val="0DBF562F"/>
    <w:rsid w:val="0DD400A1"/>
    <w:rsid w:val="0DD520DE"/>
    <w:rsid w:val="0DDA114E"/>
    <w:rsid w:val="0DDC03D6"/>
    <w:rsid w:val="0DDE16B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A621BE"/>
    <w:rsid w:val="0EAB594D"/>
    <w:rsid w:val="0EBD6AC8"/>
    <w:rsid w:val="0EC854C4"/>
    <w:rsid w:val="0ECC4D2D"/>
    <w:rsid w:val="0ED95C8A"/>
    <w:rsid w:val="0EF80EE4"/>
    <w:rsid w:val="0EFF773D"/>
    <w:rsid w:val="0F0D12D4"/>
    <w:rsid w:val="0F0F3003"/>
    <w:rsid w:val="0F1108EC"/>
    <w:rsid w:val="0F226CC5"/>
    <w:rsid w:val="0F2277D2"/>
    <w:rsid w:val="0F2D4EDE"/>
    <w:rsid w:val="0F2F7A73"/>
    <w:rsid w:val="0F340285"/>
    <w:rsid w:val="0F3710F5"/>
    <w:rsid w:val="0F425F0E"/>
    <w:rsid w:val="0F443DD6"/>
    <w:rsid w:val="0F4A313E"/>
    <w:rsid w:val="0F4F75B4"/>
    <w:rsid w:val="0F502B54"/>
    <w:rsid w:val="0F6013A0"/>
    <w:rsid w:val="0F716578"/>
    <w:rsid w:val="0F753AEF"/>
    <w:rsid w:val="0F810CE9"/>
    <w:rsid w:val="0F8D0B4E"/>
    <w:rsid w:val="0F8F102F"/>
    <w:rsid w:val="0FA470F8"/>
    <w:rsid w:val="0FB5088D"/>
    <w:rsid w:val="0FB97767"/>
    <w:rsid w:val="0FBF1A56"/>
    <w:rsid w:val="0FBF3418"/>
    <w:rsid w:val="0FC46A56"/>
    <w:rsid w:val="0FC57BB8"/>
    <w:rsid w:val="0FD6188A"/>
    <w:rsid w:val="0FE06793"/>
    <w:rsid w:val="0FEC5D00"/>
    <w:rsid w:val="0FF575F8"/>
    <w:rsid w:val="0FF65FDC"/>
    <w:rsid w:val="0FFE4483"/>
    <w:rsid w:val="10000831"/>
    <w:rsid w:val="100231D1"/>
    <w:rsid w:val="100579D5"/>
    <w:rsid w:val="10063E75"/>
    <w:rsid w:val="100E163A"/>
    <w:rsid w:val="1026756C"/>
    <w:rsid w:val="10294528"/>
    <w:rsid w:val="102C4085"/>
    <w:rsid w:val="103458CE"/>
    <w:rsid w:val="10414331"/>
    <w:rsid w:val="104E4B56"/>
    <w:rsid w:val="10532774"/>
    <w:rsid w:val="1054045C"/>
    <w:rsid w:val="10590E8D"/>
    <w:rsid w:val="105A58C1"/>
    <w:rsid w:val="10706296"/>
    <w:rsid w:val="10797EF4"/>
    <w:rsid w:val="107D3C0E"/>
    <w:rsid w:val="1083031A"/>
    <w:rsid w:val="108778E8"/>
    <w:rsid w:val="109821F7"/>
    <w:rsid w:val="10A15189"/>
    <w:rsid w:val="10AF75A3"/>
    <w:rsid w:val="10B47A73"/>
    <w:rsid w:val="10B62B53"/>
    <w:rsid w:val="10B81757"/>
    <w:rsid w:val="10BF2E44"/>
    <w:rsid w:val="10D00203"/>
    <w:rsid w:val="10D32F67"/>
    <w:rsid w:val="10D54519"/>
    <w:rsid w:val="10D57474"/>
    <w:rsid w:val="10DC0B31"/>
    <w:rsid w:val="10E91A4C"/>
    <w:rsid w:val="10ED7F30"/>
    <w:rsid w:val="10F87453"/>
    <w:rsid w:val="10FF2F5F"/>
    <w:rsid w:val="11083C1F"/>
    <w:rsid w:val="11163D3E"/>
    <w:rsid w:val="11272C1C"/>
    <w:rsid w:val="112F01F3"/>
    <w:rsid w:val="11362E5F"/>
    <w:rsid w:val="113F6847"/>
    <w:rsid w:val="11477748"/>
    <w:rsid w:val="11573160"/>
    <w:rsid w:val="116327EE"/>
    <w:rsid w:val="116739ED"/>
    <w:rsid w:val="117C5B35"/>
    <w:rsid w:val="119734D3"/>
    <w:rsid w:val="119A1E99"/>
    <w:rsid w:val="119D2515"/>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6045CA"/>
    <w:rsid w:val="1265749A"/>
    <w:rsid w:val="1267663B"/>
    <w:rsid w:val="1277751E"/>
    <w:rsid w:val="12982522"/>
    <w:rsid w:val="12B43182"/>
    <w:rsid w:val="12B46A84"/>
    <w:rsid w:val="12BA0258"/>
    <w:rsid w:val="12C625B4"/>
    <w:rsid w:val="12D35644"/>
    <w:rsid w:val="12F33BF9"/>
    <w:rsid w:val="12FE32F7"/>
    <w:rsid w:val="13002861"/>
    <w:rsid w:val="1305615F"/>
    <w:rsid w:val="13105018"/>
    <w:rsid w:val="131C5CF6"/>
    <w:rsid w:val="13227EB1"/>
    <w:rsid w:val="13304E79"/>
    <w:rsid w:val="13400045"/>
    <w:rsid w:val="135225ED"/>
    <w:rsid w:val="1354272B"/>
    <w:rsid w:val="136F49A1"/>
    <w:rsid w:val="13783516"/>
    <w:rsid w:val="137C2658"/>
    <w:rsid w:val="137E142A"/>
    <w:rsid w:val="13824BD3"/>
    <w:rsid w:val="138A039A"/>
    <w:rsid w:val="139532E4"/>
    <w:rsid w:val="139E0CE9"/>
    <w:rsid w:val="13A30FC3"/>
    <w:rsid w:val="13A31406"/>
    <w:rsid w:val="13A90461"/>
    <w:rsid w:val="13BF1D88"/>
    <w:rsid w:val="13C94CE2"/>
    <w:rsid w:val="13CD7F40"/>
    <w:rsid w:val="13DE3682"/>
    <w:rsid w:val="13EB3632"/>
    <w:rsid w:val="13ED26CD"/>
    <w:rsid w:val="14237882"/>
    <w:rsid w:val="143E1552"/>
    <w:rsid w:val="143F6AFF"/>
    <w:rsid w:val="146B0173"/>
    <w:rsid w:val="14870828"/>
    <w:rsid w:val="148F0CA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C511F"/>
    <w:rsid w:val="153D04B8"/>
    <w:rsid w:val="154239ED"/>
    <w:rsid w:val="154D51FF"/>
    <w:rsid w:val="1555109B"/>
    <w:rsid w:val="155F58CA"/>
    <w:rsid w:val="1560619C"/>
    <w:rsid w:val="156B69AA"/>
    <w:rsid w:val="15700B17"/>
    <w:rsid w:val="1584685F"/>
    <w:rsid w:val="158570C9"/>
    <w:rsid w:val="158E2D5E"/>
    <w:rsid w:val="1592090C"/>
    <w:rsid w:val="159B4CCA"/>
    <w:rsid w:val="159D5808"/>
    <w:rsid w:val="15A46E63"/>
    <w:rsid w:val="15A52865"/>
    <w:rsid w:val="15AB3CC0"/>
    <w:rsid w:val="15B45159"/>
    <w:rsid w:val="15B75E6B"/>
    <w:rsid w:val="15C562E2"/>
    <w:rsid w:val="15CF116D"/>
    <w:rsid w:val="15D03364"/>
    <w:rsid w:val="15DF61C4"/>
    <w:rsid w:val="15F62CC1"/>
    <w:rsid w:val="15F725BC"/>
    <w:rsid w:val="15FA7C65"/>
    <w:rsid w:val="16060241"/>
    <w:rsid w:val="16081ED8"/>
    <w:rsid w:val="16095AFF"/>
    <w:rsid w:val="160A5000"/>
    <w:rsid w:val="160D102D"/>
    <w:rsid w:val="161E428D"/>
    <w:rsid w:val="16235048"/>
    <w:rsid w:val="16270C37"/>
    <w:rsid w:val="162B3FD9"/>
    <w:rsid w:val="163539B0"/>
    <w:rsid w:val="163A4FD7"/>
    <w:rsid w:val="16482066"/>
    <w:rsid w:val="165243D6"/>
    <w:rsid w:val="1654399A"/>
    <w:rsid w:val="166415C4"/>
    <w:rsid w:val="1670292F"/>
    <w:rsid w:val="16843EA3"/>
    <w:rsid w:val="16876F47"/>
    <w:rsid w:val="16893317"/>
    <w:rsid w:val="169979F2"/>
    <w:rsid w:val="16A8222F"/>
    <w:rsid w:val="16B70F95"/>
    <w:rsid w:val="16C74663"/>
    <w:rsid w:val="16DE10C7"/>
    <w:rsid w:val="16E353AF"/>
    <w:rsid w:val="16EE785C"/>
    <w:rsid w:val="16F6835E"/>
    <w:rsid w:val="17005BF2"/>
    <w:rsid w:val="170365A1"/>
    <w:rsid w:val="17150DAB"/>
    <w:rsid w:val="17164904"/>
    <w:rsid w:val="172A6B63"/>
    <w:rsid w:val="17313BED"/>
    <w:rsid w:val="1734468E"/>
    <w:rsid w:val="17480164"/>
    <w:rsid w:val="174B5EF9"/>
    <w:rsid w:val="174E4C34"/>
    <w:rsid w:val="175079B9"/>
    <w:rsid w:val="17513373"/>
    <w:rsid w:val="17543A7F"/>
    <w:rsid w:val="1758341D"/>
    <w:rsid w:val="176075D3"/>
    <w:rsid w:val="176209E7"/>
    <w:rsid w:val="1768007F"/>
    <w:rsid w:val="176A68C8"/>
    <w:rsid w:val="1798692F"/>
    <w:rsid w:val="17A6334D"/>
    <w:rsid w:val="17AE317B"/>
    <w:rsid w:val="17AE70D6"/>
    <w:rsid w:val="17B85BBA"/>
    <w:rsid w:val="17CD6181"/>
    <w:rsid w:val="17DE72B7"/>
    <w:rsid w:val="17E20D1C"/>
    <w:rsid w:val="17F70F34"/>
    <w:rsid w:val="18321DF7"/>
    <w:rsid w:val="184173E8"/>
    <w:rsid w:val="18441338"/>
    <w:rsid w:val="18545A97"/>
    <w:rsid w:val="185826DA"/>
    <w:rsid w:val="185A5120"/>
    <w:rsid w:val="18611EA0"/>
    <w:rsid w:val="18653077"/>
    <w:rsid w:val="186E2B2D"/>
    <w:rsid w:val="187619E6"/>
    <w:rsid w:val="187E5D26"/>
    <w:rsid w:val="1894179F"/>
    <w:rsid w:val="18944F87"/>
    <w:rsid w:val="18A116BD"/>
    <w:rsid w:val="18AD2830"/>
    <w:rsid w:val="18AD518E"/>
    <w:rsid w:val="18C17651"/>
    <w:rsid w:val="18D856D1"/>
    <w:rsid w:val="18DF2356"/>
    <w:rsid w:val="18F6629D"/>
    <w:rsid w:val="1939490B"/>
    <w:rsid w:val="194D7435"/>
    <w:rsid w:val="19522176"/>
    <w:rsid w:val="197536BB"/>
    <w:rsid w:val="19791462"/>
    <w:rsid w:val="197D5C63"/>
    <w:rsid w:val="19806D56"/>
    <w:rsid w:val="19864661"/>
    <w:rsid w:val="1988153A"/>
    <w:rsid w:val="19A14221"/>
    <w:rsid w:val="19B50A5E"/>
    <w:rsid w:val="19BD1CFE"/>
    <w:rsid w:val="19C54A70"/>
    <w:rsid w:val="19C945DE"/>
    <w:rsid w:val="19CA23B9"/>
    <w:rsid w:val="19D74F04"/>
    <w:rsid w:val="19DC58FA"/>
    <w:rsid w:val="19E80BF6"/>
    <w:rsid w:val="19F35A27"/>
    <w:rsid w:val="19F56342"/>
    <w:rsid w:val="1A055C38"/>
    <w:rsid w:val="1A087D0E"/>
    <w:rsid w:val="1A09099C"/>
    <w:rsid w:val="1A0E07A1"/>
    <w:rsid w:val="1A0E7437"/>
    <w:rsid w:val="1A2E6712"/>
    <w:rsid w:val="1A315DD1"/>
    <w:rsid w:val="1A3A4F94"/>
    <w:rsid w:val="1A523E33"/>
    <w:rsid w:val="1A5363F7"/>
    <w:rsid w:val="1A632733"/>
    <w:rsid w:val="1A65142D"/>
    <w:rsid w:val="1A6B3616"/>
    <w:rsid w:val="1A872A12"/>
    <w:rsid w:val="1A8D28D6"/>
    <w:rsid w:val="1A8E00E9"/>
    <w:rsid w:val="1A9226AE"/>
    <w:rsid w:val="1AC176FB"/>
    <w:rsid w:val="1AD03F0F"/>
    <w:rsid w:val="1AE8200C"/>
    <w:rsid w:val="1AE82E43"/>
    <w:rsid w:val="1AF1433B"/>
    <w:rsid w:val="1AFC1C91"/>
    <w:rsid w:val="1B074DA9"/>
    <w:rsid w:val="1B095903"/>
    <w:rsid w:val="1B0C26CA"/>
    <w:rsid w:val="1B0C6512"/>
    <w:rsid w:val="1B135D29"/>
    <w:rsid w:val="1B18787D"/>
    <w:rsid w:val="1B351EE8"/>
    <w:rsid w:val="1B3B734E"/>
    <w:rsid w:val="1B47751A"/>
    <w:rsid w:val="1B4D3741"/>
    <w:rsid w:val="1B551190"/>
    <w:rsid w:val="1B55577C"/>
    <w:rsid w:val="1B8158FF"/>
    <w:rsid w:val="1B82787B"/>
    <w:rsid w:val="1B8357F2"/>
    <w:rsid w:val="1B8D4B2E"/>
    <w:rsid w:val="1B903EE2"/>
    <w:rsid w:val="1BA0668A"/>
    <w:rsid w:val="1BBC1049"/>
    <w:rsid w:val="1BC67D9A"/>
    <w:rsid w:val="1BDA50E3"/>
    <w:rsid w:val="1BE2301B"/>
    <w:rsid w:val="1BF867C3"/>
    <w:rsid w:val="1C006A41"/>
    <w:rsid w:val="1C04440C"/>
    <w:rsid w:val="1C0556D6"/>
    <w:rsid w:val="1C0B74FC"/>
    <w:rsid w:val="1C101482"/>
    <w:rsid w:val="1C20757A"/>
    <w:rsid w:val="1C263616"/>
    <w:rsid w:val="1C2F45BE"/>
    <w:rsid w:val="1C316715"/>
    <w:rsid w:val="1C377675"/>
    <w:rsid w:val="1C3D50A3"/>
    <w:rsid w:val="1C757F7F"/>
    <w:rsid w:val="1C787286"/>
    <w:rsid w:val="1C7A4830"/>
    <w:rsid w:val="1C7A531A"/>
    <w:rsid w:val="1C7B3EC6"/>
    <w:rsid w:val="1C7D7EB8"/>
    <w:rsid w:val="1C800FF8"/>
    <w:rsid w:val="1C8801E2"/>
    <w:rsid w:val="1C924399"/>
    <w:rsid w:val="1C9A5EA0"/>
    <w:rsid w:val="1C9A6A63"/>
    <w:rsid w:val="1C9F6C4A"/>
    <w:rsid w:val="1CAA4438"/>
    <w:rsid w:val="1CBB0F59"/>
    <w:rsid w:val="1CBB7CFB"/>
    <w:rsid w:val="1CBE2DAD"/>
    <w:rsid w:val="1CC7659B"/>
    <w:rsid w:val="1CD41FC4"/>
    <w:rsid w:val="1CD955BC"/>
    <w:rsid w:val="1CF52455"/>
    <w:rsid w:val="1CFB4DD2"/>
    <w:rsid w:val="1D115009"/>
    <w:rsid w:val="1D2768F8"/>
    <w:rsid w:val="1D2C06E2"/>
    <w:rsid w:val="1D3B59B9"/>
    <w:rsid w:val="1D441B58"/>
    <w:rsid w:val="1D4428DE"/>
    <w:rsid w:val="1D487B7E"/>
    <w:rsid w:val="1D4D79F9"/>
    <w:rsid w:val="1D573F10"/>
    <w:rsid w:val="1D5D6ACF"/>
    <w:rsid w:val="1D5E7A8C"/>
    <w:rsid w:val="1D6070B0"/>
    <w:rsid w:val="1D6222F8"/>
    <w:rsid w:val="1D730083"/>
    <w:rsid w:val="1D805237"/>
    <w:rsid w:val="1D810454"/>
    <w:rsid w:val="1D853DAB"/>
    <w:rsid w:val="1D930C98"/>
    <w:rsid w:val="1D9C1DFE"/>
    <w:rsid w:val="1DA2040C"/>
    <w:rsid w:val="1DA533ED"/>
    <w:rsid w:val="1DA83214"/>
    <w:rsid w:val="1DB65020"/>
    <w:rsid w:val="1DC41BB0"/>
    <w:rsid w:val="1DC65AF6"/>
    <w:rsid w:val="1DCB08F7"/>
    <w:rsid w:val="1DE207F5"/>
    <w:rsid w:val="1DFC1FAF"/>
    <w:rsid w:val="1E042D27"/>
    <w:rsid w:val="1E0C16EA"/>
    <w:rsid w:val="1E0E23C8"/>
    <w:rsid w:val="1E155BC5"/>
    <w:rsid w:val="1E365099"/>
    <w:rsid w:val="1E377012"/>
    <w:rsid w:val="1E3C35CE"/>
    <w:rsid w:val="1E440A9D"/>
    <w:rsid w:val="1E4E7A0E"/>
    <w:rsid w:val="1E4F1888"/>
    <w:rsid w:val="1E5A7EBF"/>
    <w:rsid w:val="1E742DF8"/>
    <w:rsid w:val="1E750074"/>
    <w:rsid w:val="1E7D153B"/>
    <w:rsid w:val="1E9F341B"/>
    <w:rsid w:val="1EA42A59"/>
    <w:rsid w:val="1EA569F7"/>
    <w:rsid w:val="1EAC5F6A"/>
    <w:rsid w:val="1EB1048D"/>
    <w:rsid w:val="1EB23F53"/>
    <w:rsid w:val="1EB31AED"/>
    <w:rsid w:val="1EBB6441"/>
    <w:rsid w:val="1ECA2876"/>
    <w:rsid w:val="1EE10A81"/>
    <w:rsid w:val="1EF40910"/>
    <w:rsid w:val="1EF43711"/>
    <w:rsid w:val="1EF451B0"/>
    <w:rsid w:val="1EF6775E"/>
    <w:rsid w:val="1EFE123B"/>
    <w:rsid w:val="1EFE1FB4"/>
    <w:rsid w:val="1F015E1D"/>
    <w:rsid w:val="1F0467F7"/>
    <w:rsid w:val="1F054165"/>
    <w:rsid w:val="1F123352"/>
    <w:rsid w:val="1F1659F6"/>
    <w:rsid w:val="1F3B75FF"/>
    <w:rsid w:val="1F3F34F5"/>
    <w:rsid w:val="1F41163A"/>
    <w:rsid w:val="1F546471"/>
    <w:rsid w:val="1F5772DA"/>
    <w:rsid w:val="1F5C3C4E"/>
    <w:rsid w:val="1F690D21"/>
    <w:rsid w:val="1F743C11"/>
    <w:rsid w:val="1F7B76BF"/>
    <w:rsid w:val="1F7C26CB"/>
    <w:rsid w:val="1F7F7D85"/>
    <w:rsid w:val="1F885D57"/>
    <w:rsid w:val="1FA27229"/>
    <w:rsid w:val="1FA6339C"/>
    <w:rsid w:val="1FB11014"/>
    <w:rsid w:val="1FBB763F"/>
    <w:rsid w:val="1FBC79E0"/>
    <w:rsid w:val="1FC74197"/>
    <w:rsid w:val="1FCC1591"/>
    <w:rsid w:val="1FD479BA"/>
    <w:rsid w:val="1FD55230"/>
    <w:rsid w:val="1FD641AB"/>
    <w:rsid w:val="1FE15B0A"/>
    <w:rsid w:val="20006656"/>
    <w:rsid w:val="20084F74"/>
    <w:rsid w:val="200C6F0C"/>
    <w:rsid w:val="201D4044"/>
    <w:rsid w:val="201E5A7F"/>
    <w:rsid w:val="20213B0F"/>
    <w:rsid w:val="20252FCF"/>
    <w:rsid w:val="202C6A57"/>
    <w:rsid w:val="20347263"/>
    <w:rsid w:val="203E746B"/>
    <w:rsid w:val="20450A76"/>
    <w:rsid w:val="20455F9C"/>
    <w:rsid w:val="20484A82"/>
    <w:rsid w:val="205358CB"/>
    <w:rsid w:val="20543631"/>
    <w:rsid w:val="20565824"/>
    <w:rsid w:val="208B227B"/>
    <w:rsid w:val="208E3E84"/>
    <w:rsid w:val="209078E2"/>
    <w:rsid w:val="209240DB"/>
    <w:rsid w:val="20934C03"/>
    <w:rsid w:val="2097534B"/>
    <w:rsid w:val="20991227"/>
    <w:rsid w:val="20992CFD"/>
    <w:rsid w:val="20A3135D"/>
    <w:rsid w:val="20A443A7"/>
    <w:rsid w:val="20AC32E3"/>
    <w:rsid w:val="20B27C05"/>
    <w:rsid w:val="20C05709"/>
    <w:rsid w:val="20CA4CDE"/>
    <w:rsid w:val="20E37B38"/>
    <w:rsid w:val="20EA32FE"/>
    <w:rsid w:val="20F17C8F"/>
    <w:rsid w:val="20FE3807"/>
    <w:rsid w:val="2110320E"/>
    <w:rsid w:val="212B15F0"/>
    <w:rsid w:val="212D241D"/>
    <w:rsid w:val="21485CC6"/>
    <w:rsid w:val="2150457A"/>
    <w:rsid w:val="215E0FE1"/>
    <w:rsid w:val="215F2694"/>
    <w:rsid w:val="21704749"/>
    <w:rsid w:val="21863D47"/>
    <w:rsid w:val="21882C92"/>
    <w:rsid w:val="218A0326"/>
    <w:rsid w:val="218B5863"/>
    <w:rsid w:val="21963AE9"/>
    <w:rsid w:val="219648AE"/>
    <w:rsid w:val="219926C2"/>
    <w:rsid w:val="21AC0B1E"/>
    <w:rsid w:val="21B92386"/>
    <w:rsid w:val="21CC6790"/>
    <w:rsid w:val="21CD469C"/>
    <w:rsid w:val="21CF7D11"/>
    <w:rsid w:val="21D33ED7"/>
    <w:rsid w:val="21D71CCE"/>
    <w:rsid w:val="21D90300"/>
    <w:rsid w:val="21DB194C"/>
    <w:rsid w:val="21E1785A"/>
    <w:rsid w:val="21E52F02"/>
    <w:rsid w:val="21E7264A"/>
    <w:rsid w:val="21EC11B4"/>
    <w:rsid w:val="21F139D9"/>
    <w:rsid w:val="21F75252"/>
    <w:rsid w:val="21FB0EA3"/>
    <w:rsid w:val="21FC15A7"/>
    <w:rsid w:val="22063857"/>
    <w:rsid w:val="22166F19"/>
    <w:rsid w:val="221B34F2"/>
    <w:rsid w:val="22243C81"/>
    <w:rsid w:val="22243ED5"/>
    <w:rsid w:val="223B79DE"/>
    <w:rsid w:val="223E4404"/>
    <w:rsid w:val="224B437A"/>
    <w:rsid w:val="224D0D69"/>
    <w:rsid w:val="225C6D59"/>
    <w:rsid w:val="2290426C"/>
    <w:rsid w:val="22A91330"/>
    <w:rsid w:val="22B34785"/>
    <w:rsid w:val="22B37922"/>
    <w:rsid w:val="22B45A21"/>
    <w:rsid w:val="22D04F77"/>
    <w:rsid w:val="22F149E7"/>
    <w:rsid w:val="22FD52E0"/>
    <w:rsid w:val="23151BBD"/>
    <w:rsid w:val="232064A5"/>
    <w:rsid w:val="232A5F2C"/>
    <w:rsid w:val="232D0D53"/>
    <w:rsid w:val="234902A8"/>
    <w:rsid w:val="234A49FF"/>
    <w:rsid w:val="2352170F"/>
    <w:rsid w:val="23533331"/>
    <w:rsid w:val="23537622"/>
    <w:rsid w:val="236739BC"/>
    <w:rsid w:val="237E7F63"/>
    <w:rsid w:val="238718C4"/>
    <w:rsid w:val="238C26AF"/>
    <w:rsid w:val="23A60BED"/>
    <w:rsid w:val="23AF20CF"/>
    <w:rsid w:val="23BE0C34"/>
    <w:rsid w:val="23E9634C"/>
    <w:rsid w:val="23EE567F"/>
    <w:rsid w:val="23FE39DA"/>
    <w:rsid w:val="24065B68"/>
    <w:rsid w:val="241B4EFA"/>
    <w:rsid w:val="2422724B"/>
    <w:rsid w:val="245B7134"/>
    <w:rsid w:val="246F1B15"/>
    <w:rsid w:val="2485277B"/>
    <w:rsid w:val="248F2AEF"/>
    <w:rsid w:val="2492033C"/>
    <w:rsid w:val="249D3DA9"/>
    <w:rsid w:val="24A563EF"/>
    <w:rsid w:val="24AD6B35"/>
    <w:rsid w:val="24B13323"/>
    <w:rsid w:val="24C6327F"/>
    <w:rsid w:val="24D834E8"/>
    <w:rsid w:val="24EA2AB5"/>
    <w:rsid w:val="24FA7582"/>
    <w:rsid w:val="24FD2B02"/>
    <w:rsid w:val="25024CF1"/>
    <w:rsid w:val="25112921"/>
    <w:rsid w:val="25153A7B"/>
    <w:rsid w:val="251A5BDD"/>
    <w:rsid w:val="251B4C7B"/>
    <w:rsid w:val="251B7C63"/>
    <w:rsid w:val="25263F20"/>
    <w:rsid w:val="252F41B5"/>
    <w:rsid w:val="25324381"/>
    <w:rsid w:val="253E482D"/>
    <w:rsid w:val="25415276"/>
    <w:rsid w:val="25442C2C"/>
    <w:rsid w:val="25443395"/>
    <w:rsid w:val="25480684"/>
    <w:rsid w:val="254B11E9"/>
    <w:rsid w:val="255514A1"/>
    <w:rsid w:val="255B6449"/>
    <w:rsid w:val="257631EC"/>
    <w:rsid w:val="257A1E7C"/>
    <w:rsid w:val="258007D6"/>
    <w:rsid w:val="25892068"/>
    <w:rsid w:val="25A534F7"/>
    <w:rsid w:val="25B40894"/>
    <w:rsid w:val="25B85AFD"/>
    <w:rsid w:val="25C1645F"/>
    <w:rsid w:val="25D80A4D"/>
    <w:rsid w:val="25E034F5"/>
    <w:rsid w:val="25F92FDB"/>
    <w:rsid w:val="25FFF53C"/>
    <w:rsid w:val="26001A57"/>
    <w:rsid w:val="26022936"/>
    <w:rsid w:val="26095F44"/>
    <w:rsid w:val="261B01E3"/>
    <w:rsid w:val="261D73E8"/>
    <w:rsid w:val="263142D4"/>
    <w:rsid w:val="263B4578"/>
    <w:rsid w:val="26447916"/>
    <w:rsid w:val="265E0639"/>
    <w:rsid w:val="266866BD"/>
    <w:rsid w:val="26696824"/>
    <w:rsid w:val="266C42F7"/>
    <w:rsid w:val="267109C3"/>
    <w:rsid w:val="267365C7"/>
    <w:rsid w:val="268A5924"/>
    <w:rsid w:val="268F5345"/>
    <w:rsid w:val="26972C43"/>
    <w:rsid w:val="26CB7903"/>
    <w:rsid w:val="26D11F9C"/>
    <w:rsid w:val="26D771E7"/>
    <w:rsid w:val="26DF04C0"/>
    <w:rsid w:val="26E66172"/>
    <w:rsid w:val="26ED2E1C"/>
    <w:rsid w:val="26EF6891"/>
    <w:rsid w:val="26F82DE5"/>
    <w:rsid w:val="27064754"/>
    <w:rsid w:val="270926B2"/>
    <w:rsid w:val="271313BF"/>
    <w:rsid w:val="27190AE2"/>
    <w:rsid w:val="2728538E"/>
    <w:rsid w:val="272F28E5"/>
    <w:rsid w:val="273E000B"/>
    <w:rsid w:val="27594E09"/>
    <w:rsid w:val="275A49BC"/>
    <w:rsid w:val="275C1141"/>
    <w:rsid w:val="276023AE"/>
    <w:rsid w:val="27685C29"/>
    <w:rsid w:val="276E5D6B"/>
    <w:rsid w:val="276F6AD9"/>
    <w:rsid w:val="277C70AE"/>
    <w:rsid w:val="278630A6"/>
    <w:rsid w:val="2786663F"/>
    <w:rsid w:val="27A2492F"/>
    <w:rsid w:val="27A26DCC"/>
    <w:rsid w:val="27B947C2"/>
    <w:rsid w:val="27DB36C2"/>
    <w:rsid w:val="27DB4429"/>
    <w:rsid w:val="27EE4629"/>
    <w:rsid w:val="27EF0EAD"/>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DC2D9C"/>
    <w:rsid w:val="28EB5815"/>
    <w:rsid w:val="28EC35B0"/>
    <w:rsid w:val="28F905BC"/>
    <w:rsid w:val="28FA5BE1"/>
    <w:rsid w:val="2903032F"/>
    <w:rsid w:val="290403ED"/>
    <w:rsid w:val="290B3ADD"/>
    <w:rsid w:val="29242AD0"/>
    <w:rsid w:val="29251C92"/>
    <w:rsid w:val="29415D74"/>
    <w:rsid w:val="29421D49"/>
    <w:rsid w:val="294228F6"/>
    <w:rsid w:val="2954117E"/>
    <w:rsid w:val="295B0F1F"/>
    <w:rsid w:val="295B72FD"/>
    <w:rsid w:val="296854E7"/>
    <w:rsid w:val="296D615D"/>
    <w:rsid w:val="296E145D"/>
    <w:rsid w:val="29703F71"/>
    <w:rsid w:val="29705FD0"/>
    <w:rsid w:val="297A51BC"/>
    <w:rsid w:val="298D58DE"/>
    <w:rsid w:val="299D603F"/>
    <w:rsid w:val="29A9096D"/>
    <w:rsid w:val="29C80DF2"/>
    <w:rsid w:val="29CE7AEA"/>
    <w:rsid w:val="29D2154B"/>
    <w:rsid w:val="29EA7C93"/>
    <w:rsid w:val="29F00071"/>
    <w:rsid w:val="29F31B60"/>
    <w:rsid w:val="29FD3CFC"/>
    <w:rsid w:val="29FF2DEE"/>
    <w:rsid w:val="2A010675"/>
    <w:rsid w:val="2A0555DF"/>
    <w:rsid w:val="2A074829"/>
    <w:rsid w:val="2A0D4741"/>
    <w:rsid w:val="2A164EBF"/>
    <w:rsid w:val="2A1F294B"/>
    <w:rsid w:val="2A203DF6"/>
    <w:rsid w:val="2A397752"/>
    <w:rsid w:val="2A3D2220"/>
    <w:rsid w:val="2A460ABD"/>
    <w:rsid w:val="2A483EE6"/>
    <w:rsid w:val="2A55053C"/>
    <w:rsid w:val="2A612E01"/>
    <w:rsid w:val="2A6625BB"/>
    <w:rsid w:val="2A69502D"/>
    <w:rsid w:val="2A6F665D"/>
    <w:rsid w:val="2A7B1A6A"/>
    <w:rsid w:val="2A955755"/>
    <w:rsid w:val="2AA71F23"/>
    <w:rsid w:val="2AA824F5"/>
    <w:rsid w:val="2AAC31F0"/>
    <w:rsid w:val="2AAF4827"/>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415AEC"/>
    <w:rsid w:val="2B492D37"/>
    <w:rsid w:val="2B503BE9"/>
    <w:rsid w:val="2B512E76"/>
    <w:rsid w:val="2B554BD0"/>
    <w:rsid w:val="2B5D4286"/>
    <w:rsid w:val="2B620075"/>
    <w:rsid w:val="2B622D11"/>
    <w:rsid w:val="2B6241D0"/>
    <w:rsid w:val="2B6635C4"/>
    <w:rsid w:val="2B7327A0"/>
    <w:rsid w:val="2B7B3555"/>
    <w:rsid w:val="2B920191"/>
    <w:rsid w:val="2B985EDD"/>
    <w:rsid w:val="2BA16E17"/>
    <w:rsid w:val="2BA57E72"/>
    <w:rsid w:val="2BA63509"/>
    <w:rsid w:val="2BAD07D7"/>
    <w:rsid w:val="2BAF05DC"/>
    <w:rsid w:val="2BBC1803"/>
    <w:rsid w:val="2BC37AF5"/>
    <w:rsid w:val="2BCA2615"/>
    <w:rsid w:val="2BCD5BB3"/>
    <w:rsid w:val="2BCE12ED"/>
    <w:rsid w:val="2BCE5522"/>
    <w:rsid w:val="2BD348BC"/>
    <w:rsid w:val="2BE36359"/>
    <w:rsid w:val="2BEA35FC"/>
    <w:rsid w:val="2BFB0B13"/>
    <w:rsid w:val="2C1667E2"/>
    <w:rsid w:val="2C230952"/>
    <w:rsid w:val="2C235F5A"/>
    <w:rsid w:val="2C2F33CF"/>
    <w:rsid w:val="2C343D09"/>
    <w:rsid w:val="2C576BEC"/>
    <w:rsid w:val="2C5E5584"/>
    <w:rsid w:val="2C686023"/>
    <w:rsid w:val="2C6C33C4"/>
    <w:rsid w:val="2C757714"/>
    <w:rsid w:val="2C7D09EA"/>
    <w:rsid w:val="2C824963"/>
    <w:rsid w:val="2C8766FB"/>
    <w:rsid w:val="2C8A06AB"/>
    <w:rsid w:val="2C907E61"/>
    <w:rsid w:val="2C9265BF"/>
    <w:rsid w:val="2C9B65C3"/>
    <w:rsid w:val="2CB1729E"/>
    <w:rsid w:val="2CB266D0"/>
    <w:rsid w:val="2CBD7757"/>
    <w:rsid w:val="2CBF276C"/>
    <w:rsid w:val="2CC44E07"/>
    <w:rsid w:val="2CC569CB"/>
    <w:rsid w:val="2CC74803"/>
    <w:rsid w:val="2CCE1CF6"/>
    <w:rsid w:val="2CCE41BC"/>
    <w:rsid w:val="2CEB5CD0"/>
    <w:rsid w:val="2CFF043F"/>
    <w:rsid w:val="2D131CAD"/>
    <w:rsid w:val="2D1929EF"/>
    <w:rsid w:val="2D1E36F5"/>
    <w:rsid w:val="2D2E00AD"/>
    <w:rsid w:val="2D317FAA"/>
    <w:rsid w:val="2D39472D"/>
    <w:rsid w:val="2D41402F"/>
    <w:rsid w:val="2D47247F"/>
    <w:rsid w:val="2D4C0E52"/>
    <w:rsid w:val="2D4C5395"/>
    <w:rsid w:val="2D533456"/>
    <w:rsid w:val="2D5809C0"/>
    <w:rsid w:val="2D614A43"/>
    <w:rsid w:val="2D623805"/>
    <w:rsid w:val="2D6D3CA2"/>
    <w:rsid w:val="2D781D43"/>
    <w:rsid w:val="2D7D7121"/>
    <w:rsid w:val="2D854A69"/>
    <w:rsid w:val="2DA74F81"/>
    <w:rsid w:val="2DAB42E1"/>
    <w:rsid w:val="2DB26597"/>
    <w:rsid w:val="2DB5614E"/>
    <w:rsid w:val="2DCB194C"/>
    <w:rsid w:val="2DD66EDF"/>
    <w:rsid w:val="2DDF642E"/>
    <w:rsid w:val="2DE32A97"/>
    <w:rsid w:val="2DE7057C"/>
    <w:rsid w:val="2DF5640C"/>
    <w:rsid w:val="2DF635D7"/>
    <w:rsid w:val="2DF73C08"/>
    <w:rsid w:val="2E056DE4"/>
    <w:rsid w:val="2E066EF7"/>
    <w:rsid w:val="2E0901D2"/>
    <w:rsid w:val="2E203718"/>
    <w:rsid w:val="2E234CF1"/>
    <w:rsid w:val="2E2746AE"/>
    <w:rsid w:val="2E2C6D07"/>
    <w:rsid w:val="2E2F6083"/>
    <w:rsid w:val="2E454D2B"/>
    <w:rsid w:val="2E572CC0"/>
    <w:rsid w:val="2E5863B2"/>
    <w:rsid w:val="2EA13F74"/>
    <w:rsid w:val="2EB005F7"/>
    <w:rsid w:val="2EB14523"/>
    <w:rsid w:val="2EB5032D"/>
    <w:rsid w:val="2ED1282B"/>
    <w:rsid w:val="2ED42187"/>
    <w:rsid w:val="2EDB1B05"/>
    <w:rsid w:val="2EDE6E27"/>
    <w:rsid w:val="2EDF0895"/>
    <w:rsid w:val="2EE124DD"/>
    <w:rsid w:val="2EE32FFB"/>
    <w:rsid w:val="2EE70CD5"/>
    <w:rsid w:val="2EEF4A6B"/>
    <w:rsid w:val="2F016955"/>
    <w:rsid w:val="2F0D112B"/>
    <w:rsid w:val="2F387483"/>
    <w:rsid w:val="2F3A54E2"/>
    <w:rsid w:val="2F413369"/>
    <w:rsid w:val="2F4F5EEC"/>
    <w:rsid w:val="2F525F81"/>
    <w:rsid w:val="2F5551FE"/>
    <w:rsid w:val="2F6126A2"/>
    <w:rsid w:val="2F629FB7"/>
    <w:rsid w:val="2F635CF8"/>
    <w:rsid w:val="2F657E18"/>
    <w:rsid w:val="2F6F1349"/>
    <w:rsid w:val="2F7F3437"/>
    <w:rsid w:val="2F7FB034"/>
    <w:rsid w:val="2F817DD0"/>
    <w:rsid w:val="2F825648"/>
    <w:rsid w:val="2F8B1796"/>
    <w:rsid w:val="2F9B6578"/>
    <w:rsid w:val="2F9F4AF8"/>
    <w:rsid w:val="2FAB7AE6"/>
    <w:rsid w:val="2FB24D52"/>
    <w:rsid w:val="2FBF40B8"/>
    <w:rsid w:val="2FD04C09"/>
    <w:rsid w:val="2FD70B71"/>
    <w:rsid w:val="2FD804D0"/>
    <w:rsid w:val="2FF51385"/>
    <w:rsid w:val="2FF714B8"/>
    <w:rsid w:val="2FF79711"/>
    <w:rsid w:val="2FFE0E4A"/>
    <w:rsid w:val="30032FEE"/>
    <w:rsid w:val="300635B2"/>
    <w:rsid w:val="300D11EE"/>
    <w:rsid w:val="30214C7E"/>
    <w:rsid w:val="302F6ADD"/>
    <w:rsid w:val="3042487F"/>
    <w:rsid w:val="304D5D1A"/>
    <w:rsid w:val="304F6507"/>
    <w:rsid w:val="305B6E73"/>
    <w:rsid w:val="305E79BD"/>
    <w:rsid w:val="30624751"/>
    <w:rsid w:val="3081657F"/>
    <w:rsid w:val="308510AC"/>
    <w:rsid w:val="308534A0"/>
    <w:rsid w:val="309E55A3"/>
    <w:rsid w:val="30A64A4F"/>
    <w:rsid w:val="30B31354"/>
    <w:rsid w:val="30B31546"/>
    <w:rsid w:val="30D51325"/>
    <w:rsid w:val="30D82940"/>
    <w:rsid w:val="30DC47F8"/>
    <w:rsid w:val="30E92225"/>
    <w:rsid w:val="30F00D6B"/>
    <w:rsid w:val="30F91599"/>
    <w:rsid w:val="30FD18B7"/>
    <w:rsid w:val="31073C5C"/>
    <w:rsid w:val="31223AD7"/>
    <w:rsid w:val="312F75C1"/>
    <w:rsid w:val="31366F42"/>
    <w:rsid w:val="313C7BC6"/>
    <w:rsid w:val="317B6247"/>
    <w:rsid w:val="3184584E"/>
    <w:rsid w:val="31890AFA"/>
    <w:rsid w:val="31942C78"/>
    <w:rsid w:val="31B575A2"/>
    <w:rsid w:val="31C94BC3"/>
    <w:rsid w:val="31E159BF"/>
    <w:rsid w:val="31E31A45"/>
    <w:rsid w:val="31EE1B5E"/>
    <w:rsid w:val="31F95C2B"/>
    <w:rsid w:val="321A4818"/>
    <w:rsid w:val="321D0095"/>
    <w:rsid w:val="321D6B3D"/>
    <w:rsid w:val="32270B61"/>
    <w:rsid w:val="32286936"/>
    <w:rsid w:val="323B4545"/>
    <w:rsid w:val="323E51C2"/>
    <w:rsid w:val="32443AC2"/>
    <w:rsid w:val="32563927"/>
    <w:rsid w:val="32582FD9"/>
    <w:rsid w:val="326052C1"/>
    <w:rsid w:val="32644F9E"/>
    <w:rsid w:val="326B0BAF"/>
    <w:rsid w:val="32764D1D"/>
    <w:rsid w:val="32844B47"/>
    <w:rsid w:val="3288180B"/>
    <w:rsid w:val="329B4A67"/>
    <w:rsid w:val="32AC064F"/>
    <w:rsid w:val="32D23AA1"/>
    <w:rsid w:val="32E7237C"/>
    <w:rsid w:val="32FA4E00"/>
    <w:rsid w:val="33097FCB"/>
    <w:rsid w:val="330F07F9"/>
    <w:rsid w:val="331E1AA2"/>
    <w:rsid w:val="33230960"/>
    <w:rsid w:val="33236153"/>
    <w:rsid w:val="3325361E"/>
    <w:rsid w:val="332C6DB4"/>
    <w:rsid w:val="333971B7"/>
    <w:rsid w:val="33407A22"/>
    <w:rsid w:val="3343097A"/>
    <w:rsid w:val="33684AED"/>
    <w:rsid w:val="33753B52"/>
    <w:rsid w:val="337E5775"/>
    <w:rsid w:val="33AF031D"/>
    <w:rsid w:val="33BC761E"/>
    <w:rsid w:val="33BF6CBC"/>
    <w:rsid w:val="33D14D3D"/>
    <w:rsid w:val="33D2644C"/>
    <w:rsid w:val="33D81A4C"/>
    <w:rsid w:val="33DF4467"/>
    <w:rsid w:val="33FC5728"/>
    <w:rsid w:val="340636B9"/>
    <w:rsid w:val="34086B9E"/>
    <w:rsid w:val="3424694F"/>
    <w:rsid w:val="342F6D32"/>
    <w:rsid w:val="3443369C"/>
    <w:rsid w:val="34516FC2"/>
    <w:rsid w:val="34555684"/>
    <w:rsid w:val="345E624E"/>
    <w:rsid w:val="34603A1E"/>
    <w:rsid w:val="34660FB4"/>
    <w:rsid w:val="346F196C"/>
    <w:rsid w:val="34921202"/>
    <w:rsid w:val="34A01296"/>
    <w:rsid w:val="34A72BC4"/>
    <w:rsid w:val="34AD636D"/>
    <w:rsid w:val="34D35AEF"/>
    <w:rsid w:val="34D37972"/>
    <w:rsid w:val="34D6123A"/>
    <w:rsid w:val="34ED7908"/>
    <w:rsid w:val="34F2252E"/>
    <w:rsid w:val="34F76022"/>
    <w:rsid w:val="35027278"/>
    <w:rsid w:val="350634D3"/>
    <w:rsid w:val="35117A4E"/>
    <w:rsid w:val="35194A87"/>
    <w:rsid w:val="35200F8A"/>
    <w:rsid w:val="352C21B2"/>
    <w:rsid w:val="353D699B"/>
    <w:rsid w:val="35441378"/>
    <w:rsid w:val="354C204D"/>
    <w:rsid w:val="35533710"/>
    <w:rsid w:val="35616185"/>
    <w:rsid w:val="356C7D73"/>
    <w:rsid w:val="357E1639"/>
    <w:rsid w:val="35834702"/>
    <w:rsid w:val="35952CEE"/>
    <w:rsid w:val="35A437E8"/>
    <w:rsid w:val="35AF1A13"/>
    <w:rsid w:val="35B64FD1"/>
    <w:rsid w:val="35BD4078"/>
    <w:rsid w:val="35CE48BF"/>
    <w:rsid w:val="35CF7093"/>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04B8B"/>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68698D"/>
    <w:rsid w:val="37714675"/>
    <w:rsid w:val="37740120"/>
    <w:rsid w:val="377B1BC4"/>
    <w:rsid w:val="37821EF8"/>
    <w:rsid w:val="37866BB7"/>
    <w:rsid w:val="378A7959"/>
    <w:rsid w:val="379151F3"/>
    <w:rsid w:val="3792524B"/>
    <w:rsid w:val="37940C52"/>
    <w:rsid w:val="37A30873"/>
    <w:rsid w:val="37A82E6A"/>
    <w:rsid w:val="37AD2BE0"/>
    <w:rsid w:val="37B205EE"/>
    <w:rsid w:val="37C04076"/>
    <w:rsid w:val="37CB48C8"/>
    <w:rsid w:val="37D42753"/>
    <w:rsid w:val="37EB7EF5"/>
    <w:rsid w:val="37FB0B3E"/>
    <w:rsid w:val="37FD2F87"/>
    <w:rsid w:val="37FDC4B0"/>
    <w:rsid w:val="38013423"/>
    <w:rsid w:val="38192543"/>
    <w:rsid w:val="381B47D0"/>
    <w:rsid w:val="38274ABD"/>
    <w:rsid w:val="382D1422"/>
    <w:rsid w:val="382D2E19"/>
    <w:rsid w:val="383057ED"/>
    <w:rsid w:val="38350C02"/>
    <w:rsid w:val="383651A6"/>
    <w:rsid w:val="384E6F01"/>
    <w:rsid w:val="385E3236"/>
    <w:rsid w:val="38766C47"/>
    <w:rsid w:val="387768D1"/>
    <w:rsid w:val="3887059F"/>
    <w:rsid w:val="38880168"/>
    <w:rsid w:val="388B355E"/>
    <w:rsid w:val="388F0D9F"/>
    <w:rsid w:val="38922097"/>
    <w:rsid w:val="38CC185A"/>
    <w:rsid w:val="38D233FA"/>
    <w:rsid w:val="38D43BCE"/>
    <w:rsid w:val="38D5234B"/>
    <w:rsid w:val="38D5710F"/>
    <w:rsid w:val="38EA64E4"/>
    <w:rsid w:val="38FA0464"/>
    <w:rsid w:val="38FF192C"/>
    <w:rsid w:val="39145CDB"/>
    <w:rsid w:val="391C4E68"/>
    <w:rsid w:val="3941699F"/>
    <w:rsid w:val="39464659"/>
    <w:rsid w:val="39563559"/>
    <w:rsid w:val="39570EDE"/>
    <w:rsid w:val="395B167E"/>
    <w:rsid w:val="39615265"/>
    <w:rsid w:val="39656815"/>
    <w:rsid w:val="397D6F73"/>
    <w:rsid w:val="39802ECC"/>
    <w:rsid w:val="39824946"/>
    <w:rsid w:val="39865E81"/>
    <w:rsid w:val="3990522A"/>
    <w:rsid w:val="39926E4B"/>
    <w:rsid w:val="39944C4D"/>
    <w:rsid w:val="399C28A8"/>
    <w:rsid w:val="39A05B03"/>
    <w:rsid w:val="39AD28F1"/>
    <w:rsid w:val="39B02129"/>
    <w:rsid w:val="39B8558E"/>
    <w:rsid w:val="39BC6F23"/>
    <w:rsid w:val="39BD345B"/>
    <w:rsid w:val="39CA6436"/>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9F07F2"/>
    <w:rsid w:val="3AA3573F"/>
    <w:rsid w:val="3AB51559"/>
    <w:rsid w:val="3AB80274"/>
    <w:rsid w:val="3AD445AD"/>
    <w:rsid w:val="3AD86362"/>
    <w:rsid w:val="3AE801A7"/>
    <w:rsid w:val="3AEE6745"/>
    <w:rsid w:val="3AF34940"/>
    <w:rsid w:val="3AF51000"/>
    <w:rsid w:val="3AF84B31"/>
    <w:rsid w:val="3B156E12"/>
    <w:rsid w:val="3B170047"/>
    <w:rsid w:val="3B1834CA"/>
    <w:rsid w:val="3B1923BC"/>
    <w:rsid w:val="3B1E24C8"/>
    <w:rsid w:val="3B206ED8"/>
    <w:rsid w:val="3B2D1C76"/>
    <w:rsid w:val="3B2F38BD"/>
    <w:rsid w:val="3B2F57EB"/>
    <w:rsid w:val="3B33288C"/>
    <w:rsid w:val="3B3A1E8F"/>
    <w:rsid w:val="3B3F739A"/>
    <w:rsid w:val="3B437BA1"/>
    <w:rsid w:val="3B6B49ED"/>
    <w:rsid w:val="3B753374"/>
    <w:rsid w:val="3B762EC6"/>
    <w:rsid w:val="3B791F2E"/>
    <w:rsid w:val="3B79750B"/>
    <w:rsid w:val="3B7B29BE"/>
    <w:rsid w:val="3B7D3926"/>
    <w:rsid w:val="3B84617D"/>
    <w:rsid w:val="3B8B309C"/>
    <w:rsid w:val="3BB723BA"/>
    <w:rsid w:val="3BBA3AFF"/>
    <w:rsid w:val="3BBFC5BA"/>
    <w:rsid w:val="3BCA1F1C"/>
    <w:rsid w:val="3BCC13D8"/>
    <w:rsid w:val="3BD8133A"/>
    <w:rsid w:val="3BD820FE"/>
    <w:rsid w:val="3BD96DAD"/>
    <w:rsid w:val="3BDC7821"/>
    <w:rsid w:val="3BEB58D7"/>
    <w:rsid w:val="3BEB623F"/>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774E66"/>
    <w:rsid w:val="3C816E1B"/>
    <w:rsid w:val="3C831660"/>
    <w:rsid w:val="3CBC4692"/>
    <w:rsid w:val="3CDC4055"/>
    <w:rsid w:val="3CDD5498"/>
    <w:rsid w:val="3CEA0930"/>
    <w:rsid w:val="3CF27B95"/>
    <w:rsid w:val="3CFF5A50"/>
    <w:rsid w:val="3D066B35"/>
    <w:rsid w:val="3D106EB6"/>
    <w:rsid w:val="3D1C0B24"/>
    <w:rsid w:val="3D281E46"/>
    <w:rsid w:val="3D3C210D"/>
    <w:rsid w:val="3D575AE9"/>
    <w:rsid w:val="3D5A3B41"/>
    <w:rsid w:val="3D5F5D82"/>
    <w:rsid w:val="3D60278F"/>
    <w:rsid w:val="3D6636D8"/>
    <w:rsid w:val="3D676FE6"/>
    <w:rsid w:val="3D734688"/>
    <w:rsid w:val="3D7D68E8"/>
    <w:rsid w:val="3D816473"/>
    <w:rsid w:val="3D924D76"/>
    <w:rsid w:val="3D936176"/>
    <w:rsid w:val="3DA605F1"/>
    <w:rsid w:val="3DB624D6"/>
    <w:rsid w:val="3DC96A91"/>
    <w:rsid w:val="3DCA962E"/>
    <w:rsid w:val="3DCE4212"/>
    <w:rsid w:val="3DD44227"/>
    <w:rsid w:val="3DD9B7B7"/>
    <w:rsid w:val="3DDB5ABD"/>
    <w:rsid w:val="3DE50A71"/>
    <w:rsid w:val="3DE64D3F"/>
    <w:rsid w:val="3DEF682D"/>
    <w:rsid w:val="3DF15DDC"/>
    <w:rsid w:val="3DF43ED5"/>
    <w:rsid w:val="3E0B107A"/>
    <w:rsid w:val="3E1D3429"/>
    <w:rsid w:val="3E297137"/>
    <w:rsid w:val="3E4B5902"/>
    <w:rsid w:val="3E5E47FF"/>
    <w:rsid w:val="3E620DC8"/>
    <w:rsid w:val="3E650593"/>
    <w:rsid w:val="3E684068"/>
    <w:rsid w:val="3E7F51AE"/>
    <w:rsid w:val="3E895706"/>
    <w:rsid w:val="3E9111B3"/>
    <w:rsid w:val="3EA25B10"/>
    <w:rsid w:val="3EA41BA5"/>
    <w:rsid w:val="3EA9033A"/>
    <w:rsid w:val="3EAF72E4"/>
    <w:rsid w:val="3EB3388D"/>
    <w:rsid w:val="3EC25BCA"/>
    <w:rsid w:val="3F0455DD"/>
    <w:rsid w:val="3F075FB1"/>
    <w:rsid w:val="3F1074D7"/>
    <w:rsid w:val="3F21691D"/>
    <w:rsid w:val="3F227F5D"/>
    <w:rsid w:val="3F257466"/>
    <w:rsid w:val="3F26543B"/>
    <w:rsid w:val="3F294E7F"/>
    <w:rsid w:val="3F2F5A8C"/>
    <w:rsid w:val="3F337273"/>
    <w:rsid w:val="3F412DEC"/>
    <w:rsid w:val="3F425D2C"/>
    <w:rsid w:val="3F4C161E"/>
    <w:rsid w:val="3F4FAA98"/>
    <w:rsid w:val="3F5771E6"/>
    <w:rsid w:val="3F5B19BB"/>
    <w:rsid w:val="3F611D6B"/>
    <w:rsid w:val="3F674097"/>
    <w:rsid w:val="3F6B0F2F"/>
    <w:rsid w:val="3F6E7226"/>
    <w:rsid w:val="3F7237DC"/>
    <w:rsid w:val="3F7418AC"/>
    <w:rsid w:val="3F74A015"/>
    <w:rsid w:val="3F7B467C"/>
    <w:rsid w:val="3F7F4BFD"/>
    <w:rsid w:val="3F8534F2"/>
    <w:rsid w:val="3F8D44E0"/>
    <w:rsid w:val="3F8D6CDE"/>
    <w:rsid w:val="3F9C3E7C"/>
    <w:rsid w:val="3FB37803"/>
    <w:rsid w:val="3FBC25B0"/>
    <w:rsid w:val="3FBE27AD"/>
    <w:rsid w:val="3FC15165"/>
    <w:rsid w:val="3FD214BD"/>
    <w:rsid w:val="3FEB0F5D"/>
    <w:rsid w:val="3FED37A2"/>
    <w:rsid w:val="3FF76865"/>
    <w:rsid w:val="40097753"/>
    <w:rsid w:val="400A538D"/>
    <w:rsid w:val="401041CC"/>
    <w:rsid w:val="401C0644"/>
    <w:rsid w:val="40227766"/>
    <w:rsid w:val="40280A20"/>
    <w:rsid w:val="40377291"/>
    <w:rsid w:val="40385090"/>
    <w:rsid w:val="403D4075"/>
    <w:rsid w:val="40562B90"/>
    <w:rsid w:val="40581609"/>
    <w:rsid w:val="4062552B"/>
    <w:rsid w:val="40762F0A"/>
    <w:rsid w:val="40765E8A"/>
    <w:rsid w:val="407E10BA"/>
    <w:rsid w:val="407E641B"/>
    <w:rsid w:val="40825976"/>
    <w:rsid w:val="4084632A"/>
    <w:rsid w:val="40977EEA"/>
    <w:rsid w:val="40BE000B"/>
    <w:rsid w:val="40D00C0D"/>
    <w:rsid w:val="40D14D78"/>
    <w:rsid w:val="40EC441D"/>
    <w:rsid w:val="40F044C9"/>
    <w:rsid w:val="40F20E51"/>
    <w:rsid w:val="40FA7AE5"/>
    <w:rsid w:val="411541DA"/>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A25E41"/>
    <w:rsid w:val="41B353F1"/>
    <w:rsid w:val="41B72FBB"/>
    <w:rsid w:val="41BB72F2"/>
    <w:rsid w:val="41C5567C"/>
    <w:rsid w:val="41C94A4A"/>
    <w:rsid w:val="41D4344D"/>
    <w:rsid w:val="41D66F44"/>
    <w:rsid w:val="41D855AF"/>
    <w:rsid w:val="41DB1CF1"/>
    <w:rsid w:val="41DF07EE"/>
    <w:rsid w:val="41E33215"/>
    <w:rsid w:val="41EE0902"/>
    <w:rsid w:val="420D6792"/>
    <w:rsid w:val="42126EA7"/>
    <w:rsid w:val="4220489C"/>
    <w:rsid w:val="423135E7"/>
    <w:rsid w:val="424832DC"/>
    <w:rsid w:val="425C5BCE"/>
    <w:rsid w:val="42605FC7"/>
    <w:rsid w:val="427E1411"/>
    <w:rsid w:val="427E1440"/>
    <w:rsid w:val="42904B06"/>
    <w:rsid w:val="429D0824"/>
    <w:rsid w:val="42A97915"/>
    <w:rsid w:val="42AB5919"/>
    <w:rsid w:val="42AF6E21"/>
    <w:rsid w:val="42B61D72"/>
    <w:rsid w:val="42B95478"/>
    <w:rsid w:val="42BC2E3B"/>
    <w:rsid w:val="42D21379"/>
    <w:rsid w:val="42EC5ED5"/>
    <w:rsid w:val="42F35F7E"/>
    <w:rsid w:val="4304205B"/>
    <w:rsid w:val="430E6D0F"/>
    <w:rsid w:val="430F7CB1"/>
    <w:rsid w:val="432056C4"/>
    <w:rsid w:val="43386CA4"/>
    <w:rsid w:val="433D333A"/>
    <w:rsid w:val="43422211"/>
    <w:rsid w:val="4343018D"/>
    <w:rsid w:val="4348461B"/>
    <w:rsid w:val="434C4375"/>
    <w:rsid w:val="434E3D91"/>
    <w:rsid w:val="435254D0"/>
    <w:rsid w:val="435E3F9C"/>
    <w:rsid w:val="43605D67"/>
    <w:rsid w:val="436647E4"/>
    <w:rsid w:val="43675D4E"/>
    <w:rsid w:val="436E31A2"/>
    <w:rsid w:val="436E6A85"/>
    <w:rsid w:val="43734CB5"/>
    <w:rsid w:val="437A63B2"/>
    <w:rsid w:val="437B77B4"/>
    <w:rsid w:val="437C1845"/>
    <w:rsid w:val="437C39D2"/>
    <w:rsid w:val="438863EE"/>
    <w:rsid w:val="43A6091D"/>
    <w:rsid w:val="43A94C99"/>
    <w:rsid w:val="43AD047C"/>
    <w:rsid w:val="43B93CA1"/>
    <w:rsid w:val="43C67195"/>
    <w:rsid w:val="43C96CC1"/>
    <w:rsid w:val="43D95A5E"/>
    <w:rsid w:val="43DB681A"/>
    <w:rsid w:val="43DB695D"/>
    <w:rsid w:val="43E66B2A"/>
    <w:rsid w:val="43EF7DF5"/>
    <w:rsid w:val="43F75428"/>
    <w:rsid w:val="44062A2A"/>
    <w:rsid w:val="44064D7F"/>
    <w:rsid w:val="440F21F4"/>
    <w:rsid w:val="440F23A5"/>
    <w:rsid w:val="441B2788"/>
    <w:rsid w:val="44312509"/>
    <w:rsid w:val="44353309"/>
    <w:rsid w:val="443D5C83"/>
    <w:rsid w:val="443E6111"/>
    <w:rsid w:val="444112B7"/>
    <w:rsid w:val="4445734B"/>
    <w:rsid w:val="44486DE6"/>
    <w:rsid w:val="444F43EE"/>
    <w:rsid w:val="446270C6"/>
    <w:rsid w:val="44704880"/>
    <w:rsid w:val="447670D1"/>
    <w:rsid w:val="4477366C"/>
    <w:rsid w:val="447B38D0"/>
    <w:rsid w:val="448F0A9C"/>
    <w:rsid w:val="44970B52"/>
    <w:rsid w:val="449A2D31"/>
    <w:rsid w:val="449A2DDB"/>
    <w:rsid w:val="449A7C89"/>
    <w:rsid w:val="44A311E8"/>
    <w:rsid w:val="44A43AD2"/>
    <w:rsid w:val="44B00AD5"/>
    <w:rsid w:val="44C0317F"/>
    <w:rsid w:val="44CA33E5"/>
    <w:rsid w:val="44CA44C7"/>
    <w:rsid w:val="44CB2B24"/>
    <w:rsid w:val="44CC6B71"/>
    <w:rsid w:val="44D2188E"/>
    <w:rsid w:val="44DB63C4"/>
    <w:rsid w:val="44E0427D"/>
    <w:rsid w:val="44E63F80"/>
    <w:rsid w:val="44F26631"/>
    <w:rsid w:val="44FF12D4"/>
    <w:rsid w:val="4505615F"/>
    <w:rsid w:val="45195E19"/>
    <w:rsid w:val="451A08D6"/>
    <w:rsid w:val="451A4504"/>
    <w:rsid w:val="45216D6E"/>
    <w:rsid w:val="452D74D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10103"/>
    <w:rsid w:val="4606415C"/>
    <w:rsid w:val="460F365D"/>
    <w:rsid w:val="4612589E"/>
    <w:rsid w:val="464C33C7"/>
    <w:rsid w:val="468D25A7"/>
    <w:rsid w:val="46A0570C"/>
    <w:rsid w:val="46A1326E"/>
    <w:rsid w:val="46A2703C"/>
    <w:rsid w:val="46AD29A2"/>
    <w:rsid w:val="46AD7BE3"/>
    <w:rsid w:val="46C07B71"/>
    <w:rsid w:val="46C97019"/>
    <w:rsid w:val="46D11B8F"/>
    <w:rsid w:val="46D202C6"/>
    <w:rsid w:val="46D77375"/>
    <w:rsid w:val="46D90F11"/>
    <w:rsid w:val="46E2491C"/>
    <w:rsid w:val="46EB4D4C"/>
    <w:rsid w:val="46F0402F"/>
    <w:rsid w:val="47005024"/>
    <w:rsid w:val="470401D6"/>
    <w:rsid w:val="470A674E"/>
    <w:rsid w:val="470E2853"/>
    <w:rsid w:val="47104182"/>
    <w:rsid w:val="47155653"/>
    <w:rsid w:val="472D0AA7"/>
    <w:rsid w:val="474C0355"/>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70350"/>
    <w:rsid w:val="47D96A40"/>
    <w:rsid w:val="47DC4C30"/>
    <w:rsid w:val="47E528C3"/>
    <w:rsid w:val="47F851FE"/>
    <w:rsid w:val="48002186"/>
    <w:rsid w:val="48220C0B"/>
    <w:rsid w:val="48330D0B"/>
    <w:rsid w:val="483E6319"/>
    <w:rsid w:val="4844010E"/>
    <w:rsid w:val="484D70C0"/>
    <w:rsid w:val="48586A3A"/>
    <w:rsid w:val="48605603"/>
    <w:rsid w:val="48620B89"/>
    <w:rsid w:val="486322E6"/>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64062"/>
    <w:rsid w:val="48D872F2"/>
    <w:rsid w:val="48DD7098"/>
    <w:rsid w:val="48E65A8C"/>
    <w:rsid w:val="48E873E2"/>
    <w:rsid w:val="48EB5F33"/>
    <w:rsid w:val="48EC0DCC"/>
    <w:rsid w:val="48ED21B1"/>
    <w:rsid w:val="48F56D96"/>
    <w:rsid w:val="490D334D"/>
    <w:rsid w:val="490E76AE"/>
    <w:rsid w:val="49156D12"/>
    <w:rsid w:val="4923561B"/>
    <w:rsid w:val="492A3205"/>
    <w:rsid w:val="49341C2B"/>
    <w:rsid w:val="49346CF1"/>
    <w:rsid w:val="494A309B"/>
    <w:rsid w:val="494B3250"/>
    <w:rsid w:val="494C57CF"/>
    <w:rsid w:val="494D16C1"/>
    <w:rsid w:val="4959460B"/>
    <w:rsid w:val="49C324E8"/>
    <w:rsid w:val="49CA7E3C"/>
    <w:rsid w:val="49D9493E"/>
    <w:rsid w:val="49E05DCB"/>
    <w:rsid w:val="49EB622C"/>
    <w:rsid w:val="49F50CB4"/>
    <w:rsid w:val="4A0028F7"/>
    <w:rsid w:val="4A060453"/>
    <w:rsid w:val="4A087489"/>
    <w:rsid w:val="4A2B1F5C"/>
    <w:rsid w:val="4A597A22"/>
    <w:rsid w:val="4A824219"/>
    <w:rsid w:val="4A8E7E91"/>
    <w:rsid w:val="4A9713FB"/>
    <w:rsid w:val="4A9947DA"/>
    <w:rsid w:val="4A997593"/>
    <w:rsid w:val="4A9A7E74"/>
    <w:rsid w:val="4AA614AA"/>
    <w:rsid w:val="4AA828AB"/>
    <w:rsid w:val="4AB220B5"/>
    <w:rsid w:val="4ABE07D2"/>
    <w:rsid w:val="4AC01BED"/>
    <w:rsid w:val="4AC07531"/>
    <w:rsid w:val="4AC1656E"/>
    <w:rsid w:val="4AC24A28"/>
    <w:rsid w:val="4ACA6106"/>
    <w:rsid w:val="4ACB1D0F"/>
    <w:rsid w:val="4ACD1533"/>
    <w:rsid w:val="4AEE194A"/>
    <w:rsid w:val="4AF55326"/>
    <w:rsid w:val="4AF71C76"/>
    <w:rsid w:val="4B12691B"/>
    <w:rsid w:val="4B2225E4"/>
    <w:rsid w:val="4B2249D6"/>
    <w:rsid w:val="4B330DED"/>
    <w:rsid w:val="4B342BB9"/>
    <w:rsid w:val="4B354361"/>
    <w:rsid w:val="4B3C784A"/>
    <w:rsid w:val="4B447281"/>
    <w:rsid w:val="4B4E6196"/>
    <w:rsid w:val="4B5065E5"/>
    <w:rsid w:val="4B592E90"/>
    <w:rsid w:val="4B60501C"/>
    <w:rsid w:val="4B7A6EA5"/>
    <w:rsid w:val="4B8A5383"/>
    <w:rsid w:val="4BA27782"/>
    <w:rsid w:val="4BA85532"/>
    <w:rsid w:val="4BAB6EB1"/>
    <w:rsid w:val="4BB340E6"/>
    <w:rsid w:val="4BC004F6"/>
    <w:rsid w:val="4BC2046B"/>
    <w:rsid w:val="4BC70568"/>
    <w:rsid w:val="4BCD4308"/>
    <w:rsid w:val="4BD732D2"/>
    <w:rsid w:val="4BEF7306"/>
    <w:rsid w:val="4BF5474B"/>
    <w:rsid w:val="4BF83ED0"/>
    <w:rsid w:val="4BF859A8"/>
    <w:rsid w:val="4BFD4DB2"/>
    <w:rsid w:val="4C0C70D3"/>
    <w:rsid w:val="4C241B55"/>
    <w:rsid w:val="4C2B4F79"/>
    <w:rsid w:val="4C385A40"/>
    <w:rsid w:val="4C4B3831"/>
    <w:rsid w:val="4C5A5543"/>
    <w:rsid w:val="4C5C7AC9"/>
    <w:rsid w:val="4C6A698D"/>
    <w:rsid w:val="4C7E62D9"/>
    <w:rsid w:val="4C8354A3"/>
    <w:rsid w:val="4CA321E7"/>
    <w:rsid w:val="4CB63AA4"/>
    <w:rsid w:val="4CB96134"/>
    <w:rsid w:val="4CBA6BE7"/>
    <w:rsid w:val="4CBB7B02"/>
    <w:rsid w:val="4CC45A83"/>
    <w:rsid w:val="4CC53803"/>
    <w:rsid w:val="4CD00124"/>
    <w:rsid w:val="4CDF4F5F"/>
    <w:rsid w:val="4CE679D2"/>
    <w:rsid w:val="4CF73AC7"/>
    <w:rsid w:val="4CF850CA"/>
    <w:rsid w:val="4CFB4906"/>
    <w:rsid w:val="4D04433E"/>
    <w:rsid w:val="4D066A1E"/>
    <w:rsid w:val="4D111DEA"/>
    <w:rsid w:val="4D15653E"/>
    <w:rsid w:val="4D1A17B3"/>
    <w:rsid w:val="4D1C31C6"/>
    <w:rsid w:val="4D240701"/>
    <w:rsid w:val="4D3044C7"/>
    <w:rsid w:val="4D361251"/>
    <w:rsid w:val="4D3E2049"/>
    <w:rsid w:val="4D44774F"/>
    <w:rsid w:val="4D4B58A5"/>
    <w:rsid w:val="4D4C4574"/>
    <w:rsid w:val="4D5B6A1B"/>
    <w:rsid w:val="4D627203"/>
    <w:rsid w:val="4D66006E"/>
    <w:rsid w:val="4D6C3B9E"/>
    <w:rsid w:val="4D8674BE"/>
    <w:rsid w:val="4D8B066E"/>
    <w:rsid w:val="4D920C3D"/>
    <w:rsid w:val="4D976BD2"/>
    <w:rsid w:val="4D9C209F"/>
    <w:rsid w:val="4DA06A38"/>
    <w:rsid w:val="4DBC21EC"/>
    <w:rsid w:val="4DC3357A"/>
    <w:rsid w:val="4DD806AE"/>
    <w:rsid w:val="4DEB5692"/>
    <w:rsid w:val="4DF17B7F"/>
    <w:rsid w:val="4DF62A72"/>
    <w:rsid w:val="4DF71177"/>
    <w:rsid w:val="4E015F8B"/>
    <w:rsid w:val="4E0A7662"/>
    <w:rsid w:val="4E15259A"/>
    <w:rsid w:val="4E163912"/>
    <w:rsid w:val="4E192019"/>
    <w:rsid w:val="4E1C4AEB"/>
    <w:rsid w:val="4E283BF9"/>
    <w:rsid w:val="4E3F2E3C"/>
    <w:rsid w:val="4E5A49F3"/>
    <w:rsid w:val="4E7A2E8A"/>
    <w:rsid w:val="4E7C181D"/>
    <w:rsid w:val="4E81432F"/>
    <w:rsid w:val="4E9373C0"/>
    <w:rsid w:val="4EA6083B"/>
    <w:rsid w:val="4EAB62F0"/>
    <w:rsid w:val="4EB619A8"/>
    <w:rsid w:val="4EBB6FFE"/>
    <w:rsid w:val="4EC56069"/>
    <w:rsid w:val="4ECD751A"/>
    <w:rsid w:val="4ED75DAE"/>
    <w:rsid w:val="4EE105D0"/>
    <w:rsid w:val="4EE7009D"/>
    <w:rsid w:val="4EFA5D6D"/>
    <w:rsid w:val="4EFB4E8F"/>
    <w:rsid w:val="4F064596"/>
    <w:rsid w:val="4F08177C"/>
    <w:rsid w:val="4F092C81"/>
    <w:rsid w:val="4F0D4F13"/>
    <w:rsid w:val="4F1C5302"/>
    <w:rsid w:val="4F2C1A89"/>
    <w:rsid w:val="4F2F54B5"/>
    <w:rsid w:val="4F3D05DF"/>
    <w:rsid w:val="4F3F4604"/>
    <w:rsid w:val="4F4F0440"/>
    <w:rsid w:val="4F632DB7"/>
    <w:rsid w:val="4F6828F3"/>
    <w:rsid w:val="4F745890"/>
    <w:rsid w:val="4F7702EF"/>
    <w:rsid w:val="4F7B55C1"/>
    <w:rsid w:val="4F7B6C2F"/>
    <w:rsid w:val="4F882033"/>
    <w:rsid w:val="4F967CF0"/>
    <w:rsid w:val="4FA45FB4"/>
    <w:rsid w:val="4FB140AE"/>
    <w:rsid w:val="4FB76356"/>
    <w:rsid w:val="4FBE4AFD"/>
    <w:rsid w:val="4FD01430"/>
    <w:rsid w:val="4FD90180"/>
    <w:rsid w:val="4FDF31AE"/>
    <w:rsid w:val="4FEA2E06"/>
    <w:rsid w:val="4FEF5594"/>
    <w:rsid w:val="4FF6565E"/>
    <w:rsid w:val="4FFCF649"/>
    <w:rsid w:val="500A2552"/>
    <w:rsid w:val="50131C60"/>
    <w:rsid w:val="501723E6"/>
    <w:rsid w:val="501D6123"/>
    <w:rsid w:val="50234132"/>
    <w:rsid w:val="50296286"/>
    <w:rsid w:val="502D02A0"/>
    <w:rsid w:val="50396587"/>
    <w:rsid w:val="503B1382"/>
    <w:rsid w:val="50486E0E"/>
    <w:rsid w:val="50684E81"/>
    <w:rsid w:val="5075104B"/>
    <w:rsid w:val="5075687D"/>
    <w:rsid w:val="507852DF"/>
    <w:rsid w:val="50866AC3"/>
    <w:rsid w:val="508A07B8"/>
    <w:rsid w:val="50900126"/>
    <w:rsid w:val="509C7C29"/>
    <w:rsid w:val="50A2127B"/>
    <w:rsid w:val="50A32FC8"/>
    <w:rsid w:val="50B614C2"/>
    <w:rsid w:val="50C74476"/>
    <w:rsid w:val="50E2518C"/>
    <w:rsid w:val="50E41082"/>
    <w:rsid w:val="50F66EF4"/>
    <w:rsid w:val="50F96C4E"/>
    <w:rsid w:val="50FA20DD"/>
    <w:rsid w:val="50FA2CE9"/>
    <w:rsid w:val="5104147F"/>
    <w:rsid w:val="51075C61"/>
    <w:rsid w:val="511835E5"/>
    <w:rsid w:val="51233865"/>
    <w:rsid w:val="51240121"/>
    <w:rsid w:val="51282BDC"/>
    <w:rsid w:val="512C327D"/>
    <w:rsid w:val="512C5700"/>
    <w:rsid w:val="51302EC3"/>
    <w:rsid w:val="514329D6"/>
    <w:rsid w:val="514C67E7"/>
    <w:rsid w:val="51663591"/>
    <w:rsid w:val="517B0723"/>
    <w:rsid w:val="518D3959"/>
    <w:rsid w:val="51904C47"/>
    <w:rsid w:val="519F0748"/>
    <w:rsid w:val="51A5718F"/>
    <w:rsid w:val="51AA5EE3"/>
    <w:rsid w:val="51AC042E"/>
    <w:rsid w:val="51AE2C09"/>
    <w:rsid w:val="51B4034E"/>
    <w:rsid w:val="51B67C18"/>
    <w:rsid w:val="51BB2F03"/>
    <w:rsid w:val="51C16B27"/>
    <w:rsid w:val="51D66181"/>
    <w:rsid w:val="51DD07C4"/>
    <w:rsid w:val="51DF5E42"/>
    <w:rsid w:val="51E92702"/>
    <w:rsid w:val="51EA5164"/>
    <w:rsid w:val="51EE1CAB"/>
    <w:rsid w:val="51EE1CAE"/>
    <w:rsid w:val="52056978"/>
    <w:rsid w:val="520D1F5C"/>
    <w:rsid w:val="521A2F30"/>
    <w:rsid w:val="521B0709"/>
    <w:rsid w:val="521F5463"/>
    <w:rsid w:val="522408E3"/>
    <w:rsid w:val="522C3822"/>
    <w:rsid w:val="523503EF"/>
    <w:rsid w:val="523A7964"/>
    <w:rsid w:val="523B5943"/>
    <w:rsid w:val="524B3FDE"/>
    <w:rsid w:val="524B64AA"/>
    <w:rsid w:val="52502DC9"/>
    <w:rsid w:val="525115A8"/>
    <w:rsid w:val="52547186"/>
    <w:rsid w:val="52631321"/>
    <w:rsid w:val="526B2DEC"/>
    <w:rsid w:val="526B5EEE"/>
    <w:rsid w:val="527D67A7"/>
    <w:rsid w:val="52AF3F38"/>
    <w:rsid w:val="52B33948"/>
    <w:rsid w:val="52C93BBE"/>
    <w:rsid w:val="52D05D9C"/>
    <w:rsid w:val="52DF5A77"/>
    <w:rsid w:val="52E113F5"/>
    <w:rsid w:val="52E2402D"/>
    <w:rsid w:val="530715FB"/>
    <w:rsid w:val="530D0E70"/>
    <w:rsid w:val="53297E57"/>
    <w:rsid w:val="533F38E7"/>
    <w:rsid w:val="53420089"/>
    <w:rsid w:val="534C79BB"/>
    <w:rsid w:val="537D23DD"/>
    <w:rsid w:val="5384469F"/>
    <w:rsid w:val="53871AB1"/>
    <w:rsid w:val="538D6A67"/>
    <w:rsid w:val="539150CC"/>
    <w:rsid w:val="539802F4"/>
    <w:rsid w:val="539D2ACB"/>
    <w:rsid w:val="53A64776"/>
    <w:rsid w:val="53A74C89"/>
    <w:rsid w:val="53AC48CA"/>
    <w:rsid w:val="53B15393"/>
    <w:rsid w:val="53C12731"/>
    <w:rsid w:val="53CF5237"/>
    <w:rsid w:val="53D20731"/>
    <w:rsid w:val="53D224D9"/>
    <w:rsid w:val="53DA6ABC"/>
    <w:rsid w:val="53E27E4A"/>
    <w:rsid w:val="53E355BF"/>
    <w:rsid w:val="53E8282F"/>
    <w:rsid w:val="53E857A6"/>
    <w:rsid w:val="53F86054"/>
    <w:rsid w:val="53FF5DC1"/>
    <w:rsid w:val="54061774"/>
    <w:rsid w:val="54084368"/>
    <w:rsid w:val="540E3ABB"/>
    <w:rsid w:val="5415213B"/>
    <w:rsid w:val="54174D5D"/>
    <w:rsid w:val="541B216B"/>
    <w:rsid w:val="54287A4E"/>
    <w:rsid w:val="543A3A51"/>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D774F"/>
    <w:rsid w:val="54B03A20"/>
    <w:rsid w:val="54B60902"/>
    <w:rsid w:val="54B93795"/>
    <w:rsid w:val="54E44BF0"/>
    <w:rsid w:val="54E462F6"/>
    <w:rsid w:val="54F54AD8"/>
    <w:rsid w:val="550641A4"/>
    <w:rsid w:val="550875D8"/>
    <w:rsid w:val="550C5474"/>
    <w:rsid w:val="550E0556"/>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7258C"/>
    <w:rsid w:val="55AC794C"/>
    <w:rsid w:val="55AD28F4"/>
    <w:rsid w:val="55AE5163"/>
    <w:rsid w:val="55B62F64"/>
    <w:rsid w:val="55B95799"/>
    <w:rsid w:val="55BD4F0C"/>
    <w:rsid w:val="55D01BC1"/>
    <w:rsid w:val="55E32F66"/>
    <w:rsid w:val="55FF3C96"/>
    <w:rsid w:val="560010ED"/>
    <w:rsid w:val="560A1E7A"/>
    <w:rsid w:val="560C20A5"/>
    <w:rsid w:val="561C3C7D"/>
    <w:rsid w:val="562C2FA6"/>
    <w:rsid w:val="562E13B9"/>
    <w:rsid w:val="56312196"/>
    <w:rsid w:val="56353E08"/>
    <w:rsid w:val="56362C3B"/>
    <w:rsid w:val="564B4F61"/>
    <w:rsid w:val="564C6A6F"/>
    <w:rsid w:val="56506BA6"/>
    <w:rsid w:val="565D32EE"/>
    <w:rsid w:val="56682B4C"/>
    <w:rsid w:val="5668633D"/>
    <w:rsid w:val="566D65BC"/>
    <w:rsid w:val="56707213"/>
    <w:rsid w:val="56757DE9"/>
    <w:rsid w:val="5677517B"/>
    <w:rsid w:val="56882964"/>
    <w:rsid w:val="568E5C2E"/>
    <w:rsid w:val="56946918"/>
    <w:rsid w:val="569D0DCD"/>
    <w:rsid w:val="56A05E75"/>
    <w:rsid w:val="56BD4880"/>
    <w:rsid w:val="56BF385F"/>
    <w:rsid w:val="56C210AA"/>
    <w:rsid w:val="56C50357"/>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4532CA"/>
    <w:rsid w:val="575B929F"/>
    <w:rsid w:val="575D3CB3"/>
    <w:rsid w:val="57775CEA"/>
    <w:rsid w:val="577B6220"/>
    <w:rsid w:val="577C648F"/>
    <w:rsid w:val="578042DA"/>
    <w:rsid w:val="5787349E"/>
    <w:rsid w:val="579E3D52"/>
    <w:rsid w:val="57B27112"/>
    <w:rsid w:val="57B63A8B"/>
    <w:rsid w:val="57B738E0"/>
    <w:rsid w:val="57B90017"/>
    <w:rsid w:val="57BC7E22"/>
    <w:rsid w:val="57C80109"/>
    <w:rsid w:val="57CA6B58"/>
    <w:rsid w:val="57CD0996"/>
    <w:rsid w:val="57D3757D"/>
    <w:rsid w:val="57DD4CF2"/>
    <w:rsid w:val="57E302C9"/>
    <w:rsid w:val="57EA39E4"/>
    <w:rsid w:val="57FA4253"/>
    <w:rsid w:val="57FF37AB"/>
    <w:rsid w:val="581663A7"/>
    <w:rsid w:val="581A6136"/>
    <w:rsid w:val="583339EA"/>
    <w:rsid w:val="583975EB"/>
    <w:rsid w:val="585144AA"/>
    <w:rsid w:val="58567D64"/>
    <w:rsid w:val="586057AB"/>
    <w:rsid w:val="58651B4D"/>
    <w:rsid w:val="586578BF"/>
    <w:rsid w:val="58730A21"/>
    <w:rsid w:val="587A152E"/>
    <w:rsid w:val="587A70C6"/>
    <w:rsid w:val="588D7EB4"/>
    <w:rsid w:val="589947D3"/>
    <w:rsid w:val="589A4F5C"/>
    <w:rsid w:val="58A75020"/>
    <w:rsid w:val="58B32D3F"/>
    <w:rsid w:val="58C0349D"/>
    <w:rsid w:val="58C94687"/>
    <w:rsid w:val="58DE49F6"/>
    <w:rsid w:val="58F7247A"/>
    <w:rsid w:val="590413BD"/>
    <w:rsid w:val="5913289D"/>
    <w:rsid w:val="5919795C"/>
    <w:rsid w:val="59232537"/>
    <w:rsid w:val="592F245D"/>
    <w:rsid w:val="593D3B58"/>
    <w:rsid w:val="59440619"/>
    <w:rsid w:val="5945315F"/>
    <w:rsid w:val="594720D1"/>
    <w:rsid w:val="5952E4A2"/>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37CE0"/>
    <w:rsid w:val="59E505F7"/>
    <w:rsid w:val="59E75D47"/>
    <w:rsid w:val="59E90380"/>
    <w:rsid w:val="59FF00D1"/>
    <w:rsid w:val="5A03253F"/>
    <w:rsid w:val="5A1560F8"/>
    <w:rsid w:val="5A17068E"/>
    <w:rsid w:val="5A1F739C"/>
    <w:rsid w:val="5A20482B"/>
    <w:rsid w:val="5A297734"/>
    <w:rsid w:val="5A4433AC"/>
    <w:rsid w:val="5A456C26"/>
    <w:rsid w:val="5A4F57C5"/>
    <w:rsid w:val="5A4F5EE1"/>
    <w:rsid w:val="5A5665CD"/>
    <w:rsid w:val="5A593148"/>
    <w:rsid w:val="5A5E0CAD"/>
    <w:rsid w:val="5A604B4C"/>
    <w:rsid w:val="5A620DD5"/>
    <w:rsid w:val="5A6E519E"/>
    <w:rsid w:val="5A6E5F01"/>
    <w:rsid w:val="5A7F23D0"/>
    <w:rsid w:val="5A89045B"/>
    <w:rsid w:val="5A8A094A"/>
    <w:rsid w:val="5A8F2C1C"/>
    <w:rsid w:val="5A947631"/>
    <w:rsid w:val="5A9F1F6A"/>
    <w:rsid w:val="5AAE1E87"/>
    <w:rsid w:val="5AB3317B"/>
    <w:rsid w:val="5ACF442D"/>
    <w:rsid w:val="5AD7497B"/>
    <w:rsid w:val="5AD87740"/>
    <w:rsid w:val="5ADB4B04"/>
    <w:rsid w:val="5AE67D49"/>
    <w:rsid w:val="5AEC2ADA"/>
    <w:rsid w:val="5AED24DD"/>
    <w:rsid w:val="5AED482E"/>
    <w:rsid w:val="5AF2382A"/>
    <w:rsid w:val="5AF43314"/>
    <w:rsid w:val="5B0604A3"/>
    <w:rsid w:val="5B1223E2"/>
    <w:rsid w:val="5B162801"/>
    <w:rsid w:val="5B1959CE"/>
    <w:rsid w:val="5B247BFB"/>
    <w:rsid w:val="5B344D84"/>
    <w:rsid w:val="5B565B4F"/>
    <w:rsid w:val="5B585CC5"/>
    <w:rsid w:val="5B5911EA"/>
    <w:rsid w:val="5B5B6C7F"/>
    <w:rsid w:val="5B5F167F"/>
    <w:rsid w:val="5B73596C"/>
    <w:rsid w:val="5B8E3166"/>
    <w:rsid w:val="5B903475"/>
    <w:rsid w:val="5B982E7E"/>
    <w:rsid w:val="5B9B660C"/>
    <w:rsid w:val="5BD1505A"/>
    <w:rsid w:val="5BD92BA9"/>
    <w:rsid w:val="5BDD29C3"/>
    <w:rsid w:val="5BDE6F14"/>
    <w:rsid w:val="5C046156"/>
    <w:rsid w:val="5C0A3BB7"/>
    <w:rsid w:val="5C0D4A62"/>
    <w:rsid w:val="5C1202F0"/>
    <w:rsid w:val="5C15137F"/>
    <w:rsid w:val="5C17089D"/>
    <w:rsid w:val="5C18679F"/>
    <w:rsid w:val="5C1E0DBA"/>
    <w:rsid w:val="5C3768BF"/>
    <w:rsid w:val="5C41255A"/>
    <w:rsid w:val="5C4A6360"/>
    <w:rsid w:val="5C716BC5"/>
    <w:rsid w:val="5C752E46"/>
    <w:rsid w:val="5C784ED3"/>
    <w:rsid w:val="5C7D4D78"/>
    <w:rsid w:val="5C8046F6"/>
    <w:rsid w:val="5C812DA3"/>
    <w:rsid w:val="5C81304B"/>
    <w:rsid w:val="5C8439E2"/>
    <w:rsid w:val="5C851DC2"/>
    <w:rsid w:val="5C916F38"/>
    <w:rsid w:val="5CA55250"/>
    <w:rsid w:val="5CB7487F"/>
    <w:rsid w:val="5CBA2E24"/>
    <w:rsid w:val="5CBE4851"/>
    <w:rsid w:val="5CBF7942"/>
    <w:rsid w:val="5CD80A4C"/>
    <w:rsid w:val="5CF22A1A"/>
    <w:rsid w:val="5CF3304A"/>
    <w:rsid w:val="5CF4346B"/>
    <w:rsid w:val="5CF55D68"/>
    <w:rsid w:val="5CF97C9E"/>
    <w:rsid w:val="5D0C1414"/>
    <w:rsid w:val="5D147912"/>
    <w:rsid w:val="5D1A687B"/>
    <w:rsid w:val="5D264FF5"/>
    <w:rsid w:val="5D27538E"/>
    <w:rsid w:val="5D2A7616"/>
    <w:rsid w:val="5D5144E6"/>
    <w:rsid w:val="5D530BAE"/>
    <w:rsid w:val="5D5F1E28"/>
    <w:rsid w:val="5D60610D"/>
    <w:rsid w:val="5D677934"/>
    <w:rsid w:val="5D701A55"/>
    <w:rsid w:val="5D747EB4"/>
    <w:rsid w:val="5D760E05"/>
    <w:rsid w:val="5D7A32EB"/>
    <w:rsid w:val="5D7E7D36"/>
    <w:rsid w:val="5D800E7C"/>
    <w:rsid w:val="5D862A93"/>
    <w:rsid w:val="5D867492"/>
    <w:rsid w:val="5D8F3E02"/>
    <w:rsid w:val="5D9126BE"/>
    <w:rsid w:val="5DAD66F9"/>
    <w:rsid w:val="5DAF334A"/>
    <w:rsid w:val="5DB40934"/>
    <w:rsid w:val="5DB87B7B"/>
    <w:rsid w:val="5DBA0D1A"/>
    <w:rsid w:val="5DBC7DD0"/>
    <w:rsid w:val="5DD07EF8"/>
    <w:rsid w:val="5DD15393"/>
    <w:rsid w:val="5DD67626"/>
    <w:rsid w:val="5DDA2597"/>
    <w:rsid w:val="5DE93770"/>
    <w:rsid w:val="5DEF5FD6"/>
    <w:rsid w:val="5DFB1089"/>
    <w:rsid w:val="5E087EA2"/>
    <w:rsid w:val="5E0D67C6"/>
    <w:rsid w:val="5E2775CA"/>
    <w:rsid w:val="5E294315"/>
    <w:rsid w:val="5E295856"/>
    <w:rsid w:val="5E2A2D6E"/>
    <w:rsid w:val="5E330F25"/>
    <w:rsid w:val="5E35132D"/>
    <w:rsid w:val="5E3B68DA"/>
    <w:rsid w:val="5E49038C"/>
    <w:rsid w:val="5E4A1687"/>
    <w:rsid w:val="5E4E124A"/>
    <w:rsid w:val="5E6E2F82"/>
    <w:rsid w:val="5E82512E"/>
    <w:rsid w:val="5E841F6A"/>
    <w:rsid w:val="5E860060"/>
    <w:rsid w:val="5E8732C3"/>
    <w:rsid w:val="5EA5785A"/>
    <w:rsid w:val="5EAD61A7"/>
    <w:rsid w:val="5EB75779"/>
    <w:rsid w:val="5EC030D5"/>
    <w:rsid w:val="5EC824A5"/>
    <w:rsid w:val="5ECD663E"/>
    <w:rsid w:val="5ED358B4"/>
    <w:rsid w:val="5ED744EA"/>
    <w:rsid w:val="5EDC1150"/>
    <w:rsid w:val="5EE24C8F"/>
    <w:rsid w:val="5EE327A2"/>
    <w:rsid w:val="5EE32EAC"/>
    <w:rsid w:val="5EE509E9"/>
    <w:rsid w:val="5F054905"/>
    <w:rsid w:val="5F127126"/>
    <w:rsid w:val="5F133281"/>
    <w:rsid w:val="5F163472"/>
    <w:rsid w:val="5F196D78"/>
    <w:rsid w:val="5F221B23"/>
    <w:rsid w:val="5F2B03F6"/>
    <w:rsid w:val="5F357F56"/>
    <w:rsid w:val="5F407373"/>
    <w:rsid w:val="5F437782"/>
    <w:rsid w:val="5F43F137"/>
    <w:rsid w:val="5F462070"/>
    <w:rsid w:val="5F494C21"/>
    <w:rsid w:val="5F4C1967"/>
    <w:rsid w:val="5F4C40F2"/>
    <w:rsid w:val="5F675362"/>
    <w:rsid w:val="5F76465B"/>
    <w:rsid w:val="5F7E19A1"/>
    <w:rsid w:val="5F881135"/>
    <w:rsid w:val="5F8D0E05"/>
    <w:rsid w:val="5F9537D5"/>
    <w:rsid w:val="5F991BCB"/>
    <w:rsid w:val="5FB64A68"/>
    <w:rsid w:val="5FBF59B7"/>
    <w:rsid w:val="5FD21CA0"/>
    <w:rsid w:val="5FD81733"/>
    <w:rsid w:val="5FDE2E8C"/>
    <w:rsid w:val="5FE32071"/>
    <w:rsid w:val="5FE7A0DC"/>
    <w:rsid w:val="5FEC1D02"/>
    <w:rsid w:val="5FED15CB"/>
    <w:rsid w:val="5FEE7DDE"/>
    <w:rsid w:val="600B3F28"/>
    <w:rsid w:val="600B6F9E"/>
    <w:rsid w:val="600F0E40"/>
    <w:rsid w:val="60204443"/>
    <w:rsid w:val="602A71DA"/>
    <w:rsid w:val="6037259D"/>
    <w:rsid w:val="60377C74"/>
    <w:rsid w:val="60481217"/>
    <w:rsid w:val="605806CA"/>
    <w:rsid w:val="606D316C"/>
    <w:rsid w:val="6075208D"/>
    <w:rsid w:val="60802E35"/>
    <w:rsid w:val="60811FD8"/>
    <w:rsid w:val="60A07B09"/>
    <w:rsid w:val="60A151AB"/>
    <w:rsid w:val="60AB25C5"/>
    <w:rsid w:val="60AF1513"/>
    <w:rsid w:val="60B011C0"/>
    <w:rsid w:val="60B17A56"/>
    <w:rsid w:val="60BB7B96"/>
    <w:rsid w:val="60C85076"/>
    <w:rsid w:val="60CC596E"/>
    <w:rsid w:val="60D41389"/>
    <w:rsid w:val="60DC22DF"/>
    <w:rsid w:val="60E20005"/>
    <w:rsid w:val="60E440E4"/>
    <w:rsid w:val="60FA79C1"/>
    <w:rsid w:val="61025B94"/>
    <w:rsid w:val="61164D5D"/>
    <w:rsid w:val="6117553F"/>
    <w:rsid w:val="611F628F"/>
    <w:rsid w:val="61213386"/>
    <w:rsid w:val="612A5441"/>
    <w:rsid w:val="612D4D44"/>
    <w:rsid w:val="613971FF"/>
    <w:rsid w:val="613A4317"/>
    <w:rsid w:val="613A49B3"/>
    <w:rsid w:val="613C7AC2"/>
    <w:rsid w:val="613F7BA1"/>
    <w:rsid w:val="6152509D"/>
    <w:rsid w:val="615A6011"/>
    <w:rsid w:val="61624B79"/>
    <w:rsid w:val="6168028F"/>
    <w:rsid w:val="61702915"/>
    <w:rsid w:val="617504E6"/>
    <w:rsid w:val="617812D0"/>
    <w:rsid w:val="61797EA7"/>
    <w:rsid w:val="617A3E50"/>
    <w:rsid w:val="618B5C3B"/>
    <w:rsid w:val="6194428A"/>
    <w:rsid w:val="61A20BAF"/>
    <w:rsid w:val="61A757E1"/>
    <w:rsid w:val="61A8370C"/>
    <w:rsid w:val="61AC7C3E"/>
    <w:rsid w:val="61C544D0"/>
    <w:rsid w:val="61C557FB"/>
    <w:rsid w:val="61CA71FC"/>
    <w:rsid w:val="61D12A7D"/>
    <w:rsid w:val="61D92642"/>
    <w:rsid w:val="61DD6C29"/>
    <w:rsid w:val="61DD7269"/>
    <w:rsid w:val="61DE687D"/>
    <w:rsid w:val="61F26A42"/>
    <w:rsid w:val="620045D0"/>
    <w:rsid w:val="62015914"/>
    <w:rsid w:val="62193EB9"/>
    <w:rsid w:val="6224074C"/>
    <w:rsid w:val="62297593"/>
    <w:rsid w:val="62327D52"/>
    <w:rsid w:val="62385E96"/>
    <w:rsid w:val="623D4244"/>
    <w:rsid w:val="62416372"/>
    <w:rsid w:val="62515E8E"/>
    <w:rsid w:val="626224AE"/>
    <w:rsid w:val="62636A7F"/>
    <w:rsid w:val="62653928"/>
    <w:rsid w:val="62687C0A"/>
    <w:rsid w:val="62720BC1"/>
    <w:rsid w:val="628163C7"/>
    <w:rsid w:val="628D67FA"/>
    <w:rsid w:val="629B547B"/>
    <w:rsid w:val="62A86E8C"/>
    <w:rsid w:val="62B014DC"/>
    <w:rsid w:val="62BE18F2"/>
    <w:rsid w:val="62C63BB3"/>
    <w:rsid w:val="62D408AA"/>
    <w:rsid w:val="62D9620C"/>
    <w:rsid w:val="62E42049"/>
    <w:rsid w:val="62F2073B"/>
    <w:rsid w:val="63083357"/>
    <w:rsid w:val="63095298"/>
    <w:rsid w:val="630A5F7C"/>
    <w:rsid w:val="63133A2F"/>
    <w:rsid w:val="63171A8A"/>
    <w:rsid w:val="63191FA4"/>
    <w:rsid w:val="631955AD"/>
    <w:rsid w:val="631D0B61"/>
    <w:rsid w:val="633C78BB"/>
    <w:rsid w:val="63425F59"/>
    <w:rsid w:val="634A6BF1"/>
    <w:rsid w:val="63505013"/>
    <w:rsid w:val="6356637E"/>
    <w:rsid w:val="63567264"/>
    <w:rsid w:val="635B50A6"/>
    <w:rsid w:val="635F3E6C"/>
    <w:rsid w:val="638D42C0"/>
    <w:rsid w:val="63A855E8"/>
    <w:rsid w:val="63AF3557"/>
    <w:rsid w:val="63B0726B"/>
    <w:rsid w:val="63BF3A0C"/>
    <w:rsid w:val="63D0326A"/>
    <w:rsid w:val="63D37E25"/>
    <w:rsid w:val="63DA7C45"/>
    <w:rsid w:val="63DB22FB"/>
    <w:rsid w:val="63F97AA8"/>
    <w:rsid w:val="63FA3F48"/>
    <w:rsid w:val="640004A6"/>
    <w:rsid w:val="64074D44"/>
    <w:rsid w:val="64075F2E"/>
    <w:rsid w:val="641369A5"/>
    <w:rsid w:val="64174B6B"/>
    <w:rsid w:val="641B5F92"/>
    <w:rsid w:val="641E45F7"/>
    <w:rsid w:val="6422650A"/>
    <w:rsid w:val="64235DFF"/>
    <w:rsid w:val="64390D60"/>
    <w:rsid w:val="64394F75"/>
    <w:rsid w:val="643F472E"/>
    <w:rsid w:val="644E07D9"/>
    <w:rsid w:val="64541B32"/>
    <w:rsid w:val="645719A3"/>
    <w:rsid w:val="646025F0"/>
    <w:rsid w:val="646356FB"/>
    <w:rsid w:val="64694C1B"/>
    <w:rsid w:val="646A5E54"/>
    <w:rsid w:val="648116BE"/>
    <w:rsid w:val="64972862"/>
    <w:rsid w:val="64983E35"/>
    <w:rsid w:val="649B4103"/>
    <w:rsid w:val="649F1E2A"/>
    <w:rsid w:val="64A57EA9"/>
    <w:rsid w:val="64BB5402"/>
    <w:rsid w:val="64BD0DE2"/>
    <w:rsid w:val="64E333A8"/>
    <w:rsid w:val="64EA733A"/>
    <w:rsid w:val="64EB1253"/>
    <w:rsid w:val="650548C8"/>
    <w:rsid w:val="650906B2"/>
    <w:rsid w:val="650E29E3"/>
    <w:rsid w:val="651725E2"/>
    <w:rsid w:val="65381046"/>
    <w:rsid w:val="65405E19"/>
    <w:rsid w:val="654D2F79"/>
    <w:rsid w:val="65617866"/>
    <w:rsid w:val="6570194C"/>
    <w:rsid w:val="65741253"/>
    <w:rsid w:val="657933B4"/>
    <w:rsid w:val="658629E2"/>
    <w:rsid w:val="65886C35"/>
    <w:rsid w:val="65892994"/>
    <w:rsid w:val="659DDF00"/>
    <w:rsid w:val="65AC7D2D"/>
    <w:rsid w:val="65B33A17"/>
    <w:rsid w:val="65CE50BB"/>
    <w:rsid w:val="65D74D65"/>
    <w:rsid w:val="65DC221B"/>
    <w:rsid w:val="65DD4A5C"/>
    <w:rsid w:val="65ED1249"/>
    <w:rsid w:val="65FE6126"/>
    <w:rsid w:val="65FF827D"/>
    <w:rsid w:val="66026916"/>
    <w:rsid w:val="66162A82"/>
    <w:rsid w:val="66162D18"/>
    <w:rsid w:val="66196874"/>
    <w:rsid w:val="66196EAD"/>
    <w:rsid w:val="661D6420"/>
    <w:rsid w:val="66242FDE"/>
    <w:rsid w:val="66322AB5"/>
    <w:rsid w:val="663B0316"/>
    <w:rsid w:val="664956ED"/>
    <w:rsid w:val="664E0513"/>
    <w:rsid w:val="66647507"/>
    <w:rsid w:val="667E00F5"/>
    <w:rsid w:val="668652F7"/>
    <w:rsid w:val="668C6CE7"/>
    <w:rsid w:val="66900CCE"/>
    <w:rsid w:val="66910EB8"/>
    <w:rsid w:val="6694063C"/>
    <w:rsid w:val="66972D8E"/>
    <w:rsid w:val="669B2422"/>
    <w:rsid w:val="66A5721B"/>
    <w:rsid w:val="66B37847"/>
    <w:rsid w:val="66B80708"/>
    <w:rsid w:val="66BD4C82"/>
    <w:rsid w:val="66D953C4"/>
    <w:rsid w:val="66D9632C"/>
    <w:rsid w:val="66E45649"/>
    <w:rsid w:val="66E63A20"/>
    <w:rsid w:val="66F76FD0"/>
    <w:rsid w:val="66F9395F"/>
    <w:rsid w:val="66FF2DB2"/>
    <w:rsid w:val="67044237"/>
    <w:rsid w:val="67074134"/>
    <w:rsid w:val="670D1283"/>
    <w:rsid w:val="671B3C27"/>
    <w:rsid w:val="67204BFD"/>
    <w:rsid w:val="672619FE"/>
    <w:rsid w:val="67292B3C"/>
    <w:rsid w:val="672E3147"/>
    <w:rsid w:val="673253D5"/>
    <w:rsid w:val="67346BFA"/>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767E6"/>
    <w:rsid w:val="67BC5B96"/>
    <w:rsid w:val="67BF0592"/>
    <w:rsid w:val="67C3489F"/>
    <w:rsid w:val="67CF5883"/>
    <w:rsid w:val="67D2542E"/>
    <w:rsid w:val="67D72703"/>
    <w:rsid w:val="67D82FEC"/>
    <w:rsid w:val="67DE25EB"/>
    <w:rsid w:val="67E5F33A"/>
    <w:rsid w:val="67EE4071"/>
    <w:rsid w:val="67F07B78"/>
    <w:rsid w:val="67F4170F"/>
    <w:rsid w:val="67F750D2"/>
    <w:rsid w:val="67FF6FE0"/>
    <w:rsid w:val="68024EB8"/>
    <w:rsid w:val="680E4D2C"/>
    <w:rsid w:val="68363F74"/>
    <w:rsid w:val="683659CB"/>
    <w:rsid w:val="684B46A6"/>
    <w:rsid w:val="684D303D"/>
    <w:rsid w:val="685A4162"/>
    <w:rsid w:val="68767581"/>
    <w:rsid w:val="68810A52"/>
    <w:rsid w:val="6884668C"/>
    <w:rsid w:val="6888364F"/>
    <w:rsid w:val="689641FE"/>
    <w:rsid w:val="68A3215E"/>
    <w:rsid w:val="68BC7C3A"/>
    <w:rsid w:val="68C07C6D"/>
    <w:rsid w:val="68C24A46"/>
    <w:rsid w:val="68CF4B9D"/>
    <w:rsid w:val="68EE5FF6"/>
    <w:rsid w:val="68F11B06"/>
    <w:rsid w:val="68F12C0F"/>
    <w:rsid w:val="68F13CC7"/>
    <w:rsid w:val="68F3235D"/>
    <w:rsid w:val="68F62489"/>
    <w:rsid w:val="69036D2A"/>
    <w:rsid w:val="69044E32"/>
    <w:rsid w:val="69060615"/>
    <w:rsid w:val="690A435D"/>
    <w:rsid w:val="69106CEB"/>
    <w:rsid w:val="692714E6"/>
    <w:rsid w:val="692E19FD"/>
    <w:rsid w:val="6949404D"/>
    <w:rsid w:val="695A62A9"/>
    <w:rsid w:val="696E4DB1"/>
    <w:rsid w:val="69831A73"/>
    <w:rsid w:val="69833B52"/>
    <w:rsid w:val="69840A36"/>
    <w:rsid w:val="698C6058"/>
    <w:rsid w:val="69976019"/>
    <w:rsid w:val="69A34249"/>
    <w:rsid w:val="69A60CBC"/>
    <w:rsid w:val="69B339A6"/>
    <w:rsid w:val="69B665F3"/>
    <w:rsid w:val="69C932A9"/>
    <w:rsid w:val="69CD2E33"/>
    <w:rsid w:val="69CE2C9D"/>
    <w:rsid w:val="69DC4528"/>
    <w:rsid w:val="69EB5FCC"/>
    <w:rsid w:val="6A063C23"/>
    <w:rsid w:val="6A0B175E"/>
    <w:rsid w:val="6A0B1C3A"/>
    <w:rsid w:val="6A101F75"/>
    <w:rsid w:val="6A1874E7"/>
    <w:rsid w:val="6A282B66"/>
    <w:rsid w:val="6A2C7939"/>
    <w:rsid w:val="6A2E0E19"/>
    <w:rsid w:val="6A2F393C"/>
    <w:rsid w:val="6A2F4319"/>
    <w:rsid w:val="6A31609E"/>
    <w:rsid w:val="6A4457DE"/>
    <w:rsid w:val="6A527D31"/>
    <w:rsid w:val="6A5705B3"/>
    <w:rsid w:val="6A63590F"/>
    <w:rsid w:val="6A6E1B96"/>
    <w:rsid w:val="6A732C43"/>
    <w:rsid w:val="6A8B0B65"/>
    <w:rsid w:val="6A920AE0"/>
    <w:rsid w:val="6ABB3B40"/>
    <w:rsid w:val="6AC169C2"/>
    <w:rsid w:val="6AC93F8C"/>
    <w:rsid w:val="6AD03B37"/>
    <w:rsid w:val="6AD1121C"/>
    <w:rsid w:val="6ADB2ADD"/>
    <w:rsid w:val="6AF666D5"/>
    <w:rsid w:val="6AFD5B8F"/>
    <w:rsid w:val="6B11594C"/>
    <w:rsid w:val="6B172A8A"/>
    <w:rsid w:val="6B2E7032"/>
    <w:rsid w:val="6B3413B3"/>
    <w:rsid w:val="6B524ECB"/>
    <w:rsid w:val="6B537D47"/>
    <w:rsid w:val="6B60464B"/>
    <w:rsid w:val="6B681EB2"/>
    <w:rsid w:val="6B696FA9"/>
    <w:rsid w:val="6B6E47D9"/>
    <w:rsid w:val="6B741DC4"/>
    <w:rsid w:val="6B7864BA"/>
    <w:rsid w:val="6B7C0E6F"/>
    <w:rsid w:val="6B7C7DA8"/>
    <w:rsid w:val="6B7F1CEC"/>
    <w:rsid w:val="6B80359D"/>
    <w:rsid w:val="6B8A1407"/>
    <w:rsid w:val="6BA63872"/>
    <w:rsid w:val="6BC80A7B"/>
    <w:rsid w:val="6BDE3149"/>
    <w:rsid w:val="6BE115FE"/>
    <w:rsid w:val="6BFB32BA"/>
    <w:rsid w:val="6BFD6BB7"/>
    <w:rsid w:val="6C026D64"/>
    <w:rsid w:val="6C0B593A"/>
    <w:rsid w:val="6C0E6B4D"/>
    <w:rsid w:val="6C1F0BE7"/>
    <w:rsid w:val="6C34211A"/>
    <w:rsid w:val="6C3727E2"/>
    <w:rsid w:val="6C3C5DF6"/>
    <w:rsid w:val="6C3F714D"/>
    <w:rsid w:val="6C4E7F41"/>
    <w:rsid w:val="6C6B5BD5"/>
    <w:rsid w:val="6C846D17"/>
    <w:rsid w:val="6C8A1950"/>
    <w:rsid w:val="6C8A288A"/>
    <w:rsid w:val="6C917384"/>
    <w:rsid w:val="6C991D5D"/>
    <w:rsid w:val="6CA63D23"/>
    <w:rsid w:val="6CB16C1F"/>
    <w:rsid w:val="6CB7341A"/>
    <w:rsid w:val="6CBC15EB"/>
    <w:rsid w:val="6CBE000E"/>
    <w:rsid w:val="6CC0302E"/>
    <w:rsid w:val="6CC7229D"/>
    <w:rsid w:val="6CD6702A"/>
    <w:rsid w:val="6CDA72FE"/>
    <w:rsid w:val="6CDB5A2A"/>
    <w:rsid w:val="6CE756D0"/>
    <w:rsid w:val="6CF0378A"/>
    <w:rsid w:val="6D06792F"/>
    <w:rsid w:val="6D0A162F"/>
    <w:rsid w:val="6D1906F5"/>
    <w:rsid w:val="6D192E27"/>
    <w:rsid w:val="6D232C90"/>
    <w:rsid w:val="6D2D1A8D"/>
    <w:rsid w:val="6D2D557D"/>
    <w:rsid w:val="6D3E2D99"/>
    <w:rsid w:val="6D3F1317"/>
    <w:rsid w:val="6D452634"/>
    <w:rsid w:val="6D4A58A3"/>
    <w:rsid w:val="6D4B68EC"/>
    <w:rsid w:val="6D5C627B"/>
    <w:rsid w:val="6D681EA4"/>
    <w:rsid w:val="6D750F93"/>
    <w:rsid w:val="6D76726E"/>
    <w:rsid w:val="6D77432C"/>
    <w:rsid w:val="6D7D1AC3"/>
    <w:rsid w:val="6D815C50"/>
    <w:rsid w:val="6D91378F"/>
    <w:rsid w:val="6DA0407C"/>
    <w:rsid w:val="6DA24346"/>
    <w:rsid w:val="6DB32EBA"/>
    <w:rsid w:val="6DBA7E68"/>
    <w:rsid w:val="6DBF0696"/>
    <w:rsid w:val="6DD05B97"/>
    <w:rsid w:val="6DD23DE9"/>
    <w:rsid w:val="6DD62CFA"/>
    <w:rsid w:val="6DDA6949"/>
    <w:rsid w:val="6DE16B73"/>
    <w:rsid w:val="6DE61C05"/>
    <w:rsid w:val="6DEC5AC7"/>
    <w:rsid w:val="6E02368D"/>
    <w:rsid w:val="6E1942EC"/>
    <w:rsid w:val="6E236350"/>
    <w:rsid w:val="6E2416DB"/>
    <w:rsid w:val="6E2573F2"/>
    <w:rsid w:val="6E2B11E4"/>
    <w:rsid w:val="6E353B30"/>
    <w:rsid w:val="6E353E42"/>
    <w:rsid w:val="6E447E57"/>
    <w:rsid w:val="6E4A2B2A"/>
    <w:rsid w:val="6E512243"/>
    <w:rsid w:val="6E5D6250"/>
    <w:rsid w:val="6E7A5781"/>
    <w:rsid w:val="6EA85D0E"/>
    <w:rsid w:val="6EB03D25"/>
    <w:rsid w:val="6EC20E5D"/>
    <w:rsid w:val="6EC26FD9"/>
    <w:rsid w:val="6EC67286"/>
    <w:rsid w:val="6ED44793"/>
    <w:rsid w:val="6ED7763C"/>
    <w:rsid w:val="6EDB1E15"/>
    <w:rsid w:val="6EE575C0"/>
    <w:rsid w:val="6EEC225F"/>
    <w:rsid w:val="6EF632B9"/>
    <w:rsid w:val="6EFB2B08"/>
    <w:rsid w:val="6EFB6912"/>
    <w:rsid w:val="6EFC3116"/>
    <w:rsid w:val="6F0303A8"/>
    <w:rsid w:val="6F0C63D7"/>
    <w:rsid w:val="6F0E6EA0"/>
    <w:rsid w:val="6F0E7B8B"/>
    <w:rsid w:val="6F24560B"/>
    <w:rsid w:val="6F276BB0"/>
    <w:rsid w:val="6F292DE9"/>
    <w:rsid w:val="6F3B5656"/>
    <w:rsid w:val="6F4603C3"/>
    <w:rsid w:val="6F4A06CE"/>
    <w:rsid w:val="6F4F5612"/>
    <w:rsid w:val="6F6408C5"/>
    <w:rsid w:val="6F653AC8"/>
    <w:rsid w:val="6F6A4079"/>
    <w:rsid w:val="6F6F34A0"/>
    <w:rsid w:val="6F8A5F78"/>
    <w:rsid w:val="6F91219D"/>
    <w:rsid w:val="6FA70BA7"/>
    <w:rsid w:val="6FA73D05"/>
    <w:rsid w:val="6FAE414C"/>
    <w:rsid w:val="6FAF1C9C"/>
    <w:rsid w:val="6FB35B84"/>
    <w:rsid w:val="6FB7533C"/>
    <w:rsid w:val="6FBC5562"/>
    <w:rsid w:val="6FBD44AB"/>
    <w:rsid w:val="6FC3D37A"/>
    <w:rsid w:val="6FC61949"/>
    <w:rsid w:val="6FCE771B"/>
    <w:rsid w:val="6FD14A24"/>
    <w:rsid w:val="6FD80473"/>
    <w:rsid w:val="6FD842D4"/>
    <w:rsid w:val="6FE0254F"/>
    <w:rsid w:val="6FE66281"/>
    <w:rsid w:val="6FE82829"/>
    <w:rsid w:val="6FF80816"/>
    <w:rsid w:val="6FFF4135"/>
    <w:rsid w:val="6FFF7875"/>
    <w:rsid w:val="70051FC3"/>
    <w:rsid w:val="700C4781"/>
    <w:rsid w:val="70105602"/>
    <w:rsid w:val="701168CC"/>
    <w:rsid w:val="70134DF9"/>
    <w:rsid w:val="70160D3D"/>
    <w:rsid w:val="702A21C5"/>
    <w:rsid w:val="702C4D68"/>
    <w:rsid w:val="702E56D9"/>
    <w:rsid w:val="703B4AA7"/>
    <w:rsid w:val="703F1AC5"/>
    <w:rsid w:val="705642DC"/>
    <w:rsid w:val="7062438A"/>
    <w:rsid w:val="708360A6"/>
    <w:rsid w:val="708F0A11"/>
    <w:rsid w:val="709A3E10"/>
    <w:rsid w:val="70B174B8"/>
    <w:rsid w:val="70B87F99"/>
    <w:rsid w:val="70C06311"/>
    <w:rsid w:val="70C37DFF"/>
    <w:rsid w:val="70C96CF0"/>
    <w:rsid w:val="70CF0F88"/>
    <w:rsid w:val="70D1148B"/>
    <w:rsid w:val="70D51886"/>
    <w:rsid w:val="70DA2E28"/>
    <w:rsid w:val="70DC51AC"/>
    <w:rsid w:val="70F72D6E"/>
    <w:rsid w:val="71154DE5"/>
    <w:rsid w:val="712C2A4B"/>
    <w:rsid w:val="712F05D2"/>
    <w:rsid w:val="712F4884"/>
    <w:rsid w:val="7130470C"/>
    <w:rsid w:val="71431E1E"/>
    <w:rsid w:val="714A575C"/>
    <w:rsid w:val="714D5498"/>
    <w:rsid w:val="714E093C"/>
    <w:rsid w:val="71532FE3"/>
    <w:rsid w:val="716E4197"/>
    <w:rsid w:val="7177447D"/>
    <w:rsid w:val="717A412F"/>
    <w:rsid w:val="71910508"/>
    <w:rsid w:val="71942565"/>
    <w:rsid w:val="71956D10"/>
    <w:rsid w:val="719B00F1"/>
    <w:rsid w:val="719E1803"/>
    <w:rsid w:val="71D01A82"/>
    <w:rsid w:val="71D477D6"/>
    <w:rsid w:val="71D91572"/>
    <w:rsid w:val="71E329B9"/>
    <w:rsid w:val="71E36CE7"/>
    <w:rsid w:val="71F16E28"/>
    <w:rsid w:val="71FFFCB0"/>
    <w:rsid w:val="721459A1"/>
    <w:rsid w:val="721E6A2A"/>
    <w:rsid w:val="72365B47"/>
    <w:rsid w:val="723D7D7D"/>
    <w:rsid w:val="724A5D81"/>
    <w:rsid w:val="72516EA0"/>
    <w:rsid w:val="725415A5"/>
    <w:rsid w:val="72544005"/>
    <w:rsid w:val="725D01F5"/>
    <w:rsid w:val="72665D72"/>
    <w:rsid w:val="7285513E"/>
    <w:rsid w:val="728576DC"/>
    <w:rsid w:val="72A41103"/>
    <w:rsid w:val="72BD4DA1"/>
    <w:rsid w:val="72C20714"/>
    <w:rsid w:val="72C96AFD"/>
    <w:rsid w:val="72C96D9C"/>
    <w:rsid w:val="72DF2D54"/>
    <w:rsid w:val="72E74987"/>
    <w:rsid w:val="72F36F06"/>
    <w:rsid w:val="72F42BA6"/>
    <w:rsid w:val="72F96FC3"/>
    <w:rsid w:val="72FA494D"/>
    <w:rsid w:val="730243B3"/>
    <w:rsid w:val="731044FE"/>
    <w:rsid w:val="7321765C"/>
    <w:rsid w:val="73337CF8"/>
    <w:rsid w:val="73391467"/>
    <w:rsid w:val="734202CC"/>
    <w:rsid w:val="734A78BD"/>
    <w:rsid w:val="73534DF4"/>
    <w:rsid w:val="736173E3"/>
    <w:rsid w:val="7363222B"/>
    <w:rsid w:val="736BBE8A"/>
    <w:rsid w:val="736C3816"/>
    <w:rsid w:val="736E68EE"/>
    <w:rsid w:val="736F76A9"/>
    <w:rsid w:val="73702680"/>
    <w:rsid w:val="73721F07"/>
    <w:rsid w:val="737A7603"/>
    <w:rsid w:val="737D693A"/>
    <w:rsid w:val="73851FCC"/>
    <w:rsid w:val="73872ED1"/>
    <w:rsid w:val="738F1601"/>
    <w:rsid w:val="73992BDC"/>
    <w:rsid w:val="73A40A5F"/>
    <w:rsid w:val="73A47EFB"/>
    <w:rsid w:val="73AA0B80"/>
    <w:rsid w:val="73BD0ECB"/>
    <w:rsid w:val="73C42BD2"/>
    <w:rsid w:val="73C4341B"/>
    <w:rsid w:val="73D87220"/>
    <w:rsid w:val="73E16E48"/>
    <w:rsid w:val="73F77ED0"/>
    <w:rsid w:val="73FD1FE1"/>
    <w:rsid w:val="741920B7"/>
    <w:rsid w:val="741E030B"/>
    <w:rsid w:val="74274051"/>
    <w:rsid w:val="74374C5B"/>
    <w:rsid w:val="74394C16"/>
    <w:rsid w:val="74397B64"/>
    <w:rsid w:val="743F3350"/>
    <w:rsid w:val="744C4300"/>
    <w:rsid w:val="744E2606"/>
    <w:rsid w:val="74522ADD"/>
    <w:rsid w:val="74697489"/>
    <w:rsid w:val="747977F5"/>
    <w:rsid w:val="74885903"/>
    <w:rsid w:val="74940159"/>
    <w:rsid w:val="749B420B"/>
    <w:rsid w:val="74A305F8"/>
    <w:rsid w:val="74A7162A"/>
    <w:rsid w:val="74AE732D"/>
    <w:rsid w:val="74BF962F"/>
    <w:rsid w:val="74C16E5F"/>
    <w:rsid w:val="74E21D75"/>
    <w:rsid w:val="74EA7314"/>
    <w:rsid w:val="74F308E7"/>
    <w:rsid w:val="74F571EE"/>
    <w:rsid w:val="750E6F22"/>
    <w:rsid w:val="751E3863"/>
    <w:rsid w:val="752A213B"/>
    <w:rsid w:val="752D76AD"/>
    <w:rsid w:val="75322F2D"/>
    <w:rsid w:val="75367523"/>
    <w:rsid w:val="753B0AEC"/>
    <w:rsid w:val="753E466F"/>
    <w:rsid w:val="753E4AFA"/>
    <w:rsid w:val="7542471E"/>
    <w:rsid w:val="75473288"/>
    <w:rsid w:val="754D1042"/>
    <w:rsid w:val="75522E53"/>
    <w:rsid w:val="7552701E"/>
    <w:rsid w:val="755C2C58"/>
    <w:rsid w:val="75695BFE"/>
    <w:rsid w:val="756E6671"/>
    <w:rsid w:val="757C09D4"/>
    <w:rsid w:val="75867A8C"/>
    <w:rsid w:val="75A77B96"/>
    <w:rsid w:val="75D65EDE"/>
    <w:rsid w:val="75D82A72"/>
    <w:rsid w:val="75E0573C"/>
    <w:rsid w:val="75E746A2"/>
    <w:rsid w:val="75F23D58"/>
    <w:rsid w:val="75F26586"/>
    <w:rsid w:val="75F87521"/>
    <w:rsid w:val="75FA0B70"/>
    <w:rsid w:val="75FC11D4"/>
    <w:rsid w:val="76047A8D"/>
    <w:rsid w:val="760E6B9C"/>
    <w:rsid w:val="76104166"/>
    <w:rsid w:val="761E370C"/>
    <w:rsid w:val="761F36C5"/>
    <w:rsid w:val="762D665B"/>
    <w:rsid w:val="76381FAB"/>
    <w:rsid w:val="7659180D"/>
    <w:rsid w:val="76645AE7"/>
    <w:rsid w:val="766A66DC"/>
    <w:rsid w:val="766D37EB"/>
    <w:rsid w:val="76805D33"/>
    <w:rsid w:val="76B76559"/>
    <w:rsid w:val="76C1748B"/>
    <w:rsid w:val="76CB66C2"/>
    <w:rsid w:val="76D71B2F"/>
    <w:rsid w:val="76D72961"/>
    <w:rsid w:val="76DA28C5"/>
    <w:rsid w:val="76DE63E9"/>
    <w:rsid w:val="76E97048"/>
    <w:rsid w:val="76F10225"/>
    <w:rsid w:val="76F52A70"/>
    <w:rsid w:val="76F84648"/>
    <w:rsid w:val="76FF4AF8"/>
    <w:rsid w:val="77040F13"/>
    <w:rsid w:val="77267F29"/>
    <w:rsid w:val="772B0E02"/>
    <w:rsid w:val="772B14B3"/>
    <w:rsid w:val="77361D8F"/>
    <w:rsid w:val="77374304"/>
    <w:rsid w:val="773F6B8B"/>
    <w:rsid w:val="77685CA5"/>
    <w:rsid w:val="777164C4"/>
    <w:rsid w:val="777B683C"/>
    <w:rsid w:val="777F1F8A"/>
    <w:rsid w:val="778D3DC9"/>
    <w:rsid w:val="778F53C8"/>
    <w:rsid w:val="779F1CFE"/>
    <w:rsid w:val="77A340AF"/>
    <w:rsid w:val="77C03ECA"/>
    <w:rsid w:val="77DF0FAF"/>
    <w:rsid w:val="77FC7EA1"/>
    <w:rsid w:val="77FE6ABB"/>
    <w:rsid w:val="77FE7F0C"/>
    <w:rsid w:val="78030BB3"/>
    <w:rsid w:val="780C4D7B"/>
    <w:rsid w:val="78183D62"/>
    <w:rsid w:val="781E5BB3"/>
    <w:rsid w:val="78291A3D"/>
    <w:rsid w:val="78376779"/>
    <w:rsid w:val="7840644C"/>
    <w:rsid w:val="78665DAD"/>
    <w:rsid w:val="78684E9D"/>
    <w:rsid w:val="78693128"/>
    <w:rsid w:val="786B0114"/>
    <w:rsid w:val="788526FC"/>
    <w:rsid w:val="7892385A"/>
    <w:rsid w:val="789325A8"/>
    <w:rsid w:val="789C5CC2"/>
    <w:rsid w:val="78B22689"/>
    <w:rsid w:val="78B55E40"/>
    <w:rsid w:val="78BD011C"/>
    <w:rsid w:val="78CF013E"/>
    <w:rsid w:val="78D41BC4"/>
    <w:rsid w:val="78D7123D"/>
    <w:rsid w:val="78E45DC5"/>
    <w:rsid w:val="78E74107"/>
    <w:rsid w:val="78E829E1"/>
    <w:rsid w:val="78FC0DB2"/>
    <w:rsid w:val="7911492F"/>
    <w:rsid w:val="792546E2"/>
    <w:rsid w:val="79254E6A"/>
    <w:rsid w:val="79292660"/>
    <w:rsid w:val="79424D71"/>
    <w:rsid w:val="794A4ACB"/>
    <w:rsid w:val="794F2780"/>
    <w:rsid w:val="79626993"/>
    <w:rsid w:val="7969335E"/>
    <w:rsid w:val="79707EB6"/>
    <w:rsid w:val="797A3158"/>
    <w:rsid w:val="79936416"/>
    <w:rsid w:val="79952E86"/>
    <w:rsid w:val="79956DF5"/>
    <w:rsid w:val="799F18BD"/>
    <w:rsid w:val="79A55046"/>
    <w:rsid w:val="79A9542E"/>
    <w:rsid w:val="79B67472"/>
    <w:rsid w:val="79BE5DE1"/>
    <w:rsid w:val="79BF9D52"/>
    <w:rsid w:val="79D65E05"/>
    <w:rsid w:val="79D82C2E"/>
    <w:rsid w:val="79D83551"/>
    <w:rsid w:val="79E14A6C"/>
    <w:rsid w:val="79E24263"/>
    <w:rsid w:val="79F04129"/>
    <w:rsid w:val="79F21FD8"/>
    <w:rsid w:val="7A044F5E"/>
    <w:rsid w:val="7A0716CA"/>
    <w:rsid w:val="7A114BB5"/>
    <w:rsid w:val="7A14656B"/>
    <w:rsid w:val="7A212758"/>
    <w:rsid w:val="7A246641"/>
    <w:rsid w:val="7A3005C8"/>
    <w:rsid w:val="7A3A5233"/>
    <w:rsid w:val="7A495661"/>
    <w:rsid w:val="7A4A2D6F"/>
    <w:rsid w:val="7A4D6899"/>
    <w:rsid w:val="7A5868E1"/>
    <w:rsid w:val="7A5B2A7E"/>
    <w:rsid w:val="7A654EF0"/>
    <w:rsid w:val="7A755AD2"/>
    <w:rsid w:val="7A7F5660"/>
    <w:rsid w:val="7A827221"/>
    <w:rsid w:val="7A9149C4"/>
    <w:rsid w:val="7A930150"/>
    <w:rsid w:val="7A972572"/>
    <w:rsid w:val="7AA253BA"/>
    <w:rsid w:val="7AA34AEB"/>
    <w:rsid w:val="7ACE61F9"/>
    <w:rsid w:val="7ADE6CE8"/>
    <w:rsid w:val="7AEB63DD"/>
    <w:rsid w:val="7AF32198"/>
    <w:rsid w:val="7B0B6E35"/>
    <w:rsid w:val="7B17071C"/>
    <w:rsid w:val="7B2923C0"/>
    <w:rsid w:val="7B2D4E59"/>
    <w:rsid w:val="7B3E404B"/>
    <w:rsid w:val="7B3E6F0C"/>
    <w:rsid w:val="7B487574"/>
    <w:rsid w:val="7B5B03C8"/>
    <w:rsid w:val="7B677818"/>
    <w:rsid w:val="7B742FC3"/>
    <w:rsid w:val="7B7C2D50"/>
    <w:rsid w:val="7B7CDA7C"/>
    <w:rsid w:val="7B8332C5"/>
    <w:rsid w:val="7B933A33"/>
    <w:rsid w:val="7B9B5776"/>
    <w:rsid w:val="7BB87E91"/>
    <w:rsid w:val="7BBA4C6D"/>
    <w:rsid w:val="7BBF4A63"/>
    <w:rsid w:val="7BBF7B42"/>
    <w:rsid w:val="7BC47370"/>
    <w:rsid w:val="7BD7656F"/>
    <w:rsid w:val="7BDF3BB5"/>
    <w:rsid w:val="7BE85532"/>
    <w:rsid w:val="7BED1AFB"/>
    <w:rsid w:val="7BF521EB"/>
    <w:rsid w:val="7BF65A76"/>
    <w:rsid w:val="7BF85ABA"/>
    <w:rsid w:val="7C090308"/>
    <w:rsid w:val="7C1526D4"/>
    <w:rsid w:val="7C257F05"/>
    <w:rsid w:val="7C4E781C"/>
    <w:rsid w:val="7C521E57"/>
    <w:rsid w:val="7C563743"/>
    <w:rsid w:val="7C5B29CF"/>
    <w:rsid w:val="7C6D5ED6"/>
    <w:rsid w:val="7C7F0437"/>
    <w:rsid w:val="7C875361"/>
    <w:rsid w:val="7C89082E"/>
    <w:rsid w:val="7C914D06"/>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53546D"/>
    <w:rsid w:val="7D5B5F94"/>
    <w:rsid w:val="7D6008FC"/>
    <w:rsid w:val="7D626802"/>
    <w:rsid w:val="7D696143"/>
    <w:rsid w:val="7D6A3585"/>
    <w:rsid w:val="7D6A45A3"/>
    <w:rsid w:val="7D7B394F"/>
    <w:rsid w:val="7D810AC9"/>
    <w:rsid w:val="7D856862"/>
    <w:rsid w:val="7D8953D3"/>
    <w:rsid w:val="7D8B14DE"/>
    <w:rsid w:val="7D8B6855"/>
    <w:rsid w:val="7D9B3509"/>
    <w:rsid w:val="7D9F0D2B"/>
    <w:rsid w:val="7D9F2B6E"/>
    <w:rsid w:val="7D9F62FE"/>
    <w:rsid w:val="7DB4614C"/>
    <w:rsid w:val="7DBF1D7F"/>
    <w:rsid w:val="7DC9253D"/>
    <w:rsid w:val="7DE37918"/>
    <w:rsid w:val="7DEF0CF7"/>
    <w:rsid w:val="7DF232D8"/>
    <w:rsid w:val="7DF44714"/>
    <w:rsid w:val="7DFC6FC2"/>
    <w:rsid w:val="7DFDC82B"/>
    <w:rsid w:val="7DFF7ABB"/>
    <w:rsid w:val="7E084E22"/>
    <w:rsid w:val="7E0C1F87"/>
    <w:rsid w:val="7E135DA3"/>
    <w:rsid w:val="7E143A57"/>
    <w:rsid w:val="7E175904"/>
    <w:rsid w:val="7E2D3630"/>
    <w:rsid w:val="7E2F2179"/>
    <w:rsid w:val="7E314AA9"/>
    <w:rsid w:val="7E3225E2"/>
    <w:rsid w:val="7E352319"/>
    <w:rsid w:val="7E564D83"/>
    <w:rsid w:val="7E62762C"/>
    <w:rsid w:val="7E691AAA"/>
    <w:rsid w:val="7E755EAD"/>
    <w:rsid w:val="7E784DF4"/>
    <w:rsid w:val="7E7E54AA"/>
    <w:rsid w:val="7E81350D"/>
    <w:rsid w:val="7E8C5D3C"/>
    <w:rsid w:val="7EA51811"/>
    <w:rsid w:val="7EA521AD"/>
    <w:rsid w:val="7EB37EC7"/>
    <w:rsid w:val="7EB52EE8"/>
    <w:rsid w:val="7EBC6F95"/>
    <w:rsid w:val="7ECE76CB"/>
    <w:rsid w:val="7ED14D09"/>
    <w:rsid w:val="7ED61DC6"/>
    <w:rsid w:val="7EDC7F0A"/>
    <w:rsid w:val="7EFB97E3"/>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74E50"/>
    <w:rsid w:val="7F6C669C"/>
    <w:rsid w:val="7F73C347"/>
    <w:rsid w:val="7F786BAE"/>
    <w:rsid w:val="7F7A36CC"/>
    <w:rsid w:val="7F8117EC"/>
    <w:rsid w:val="7F817243"/>
    <w:rsid w:val="7F8F3A6E"/>
    <w:rsid w:val="7F9E0549"/>
    <w:rsid w:val="7FA42036"/>
    <w:rsid w:val="7FAFD348"/>
    <w:rsid w:val="7FC9636E"/>
    <w:rsid w:val="7FCD746C"/>
    <w:rsid w:val="7FCFFCA8"/>
    <w:rsid w:val="7FD81D4E"/>
    <w:rsid w:val="7FD952F0"/>
    <w:rsid w:val="7FDD07D9"/>
    <w:rsid w:val="7FDFC90F"/>
    <w:rsid w:val="7FE02A21"/>
    <w:rsid w:val="7FED0E7C"/>
    <w:rsid w:val="7FEEE91C"/>
    <w:rsid w:val="7FF47517"/>
    <w:rsid w:val="7FF6033D"/>
    <w:rsid w:val="7FF72209"/>
    <w:rsid w:val="7FFBD1D8"/>
    <w:rsid w:val="7FFFB3A7"/>
    <w:rsid w:val="87474D50"/>
    <w:rsid w:val="8DD929AA"/>
    <w:rsid w:val="8FBB93DF"/>
    <w:rsid w:val="97FBCF7C"/>
    <w:rsid w:val="A2FC9F3C"/>
    <w:rsid w:val="A4DF31AE"/>
    <w:rsid w:val="A4E9D657"/>
    <w:rsid w:val="A7C50C56"/>
    <w:rsid w:val="AFFB4077"/>
    <w:rsid w:val="B3FD86C3"/>
    <w:rsid w:val="B57E9C87"/>
    <w:rsid w:val="B9FA215C"/>
    <w:rsid w:val="BA6B3AD1"/>
    <w:rsid w:val="BAD3FEC7"/>
    <w:rsid w:val="BB7F95A2"/>
    <w:rsid w:val="BBB06793"/>
    <w:rsid w:val="BBBD34C7"/>
    <w:rsid w:val="BBFD303E"/>
    <w:rsid w:val="BBFE2615"/>
    <w:rsid w:val="BCFA96A6"/>
    <w:rsid w:val="BE7B1CBA"/>
    <w:rsid w:val="BEB776BC"/>
    <w:rsid w:val="BFDEC948"/>
    <w:rsid w:val="BFEA743F"/>
    <w:rsid w:val="C3B2F161"/>
    <w:rsid w:val="D3E78189"/>
    <w:rsid w:val="D7DFAF31"/>
    <w:rsid w:val="D7FF5BB8"/>
    <w:rsid w:val="DAE728B2"/>
    <w:rsid w:val="DAF53A63"/>
    <w:rsid w:val="DBFF15F1"/>
    <w:rsid w:val="DCCD0761"/>
    <w:rsid w:val="DDEE0343"/>
    <w:rsid w:val="DEFF54CF"/>
    <w:rsid w:val="DF8D506F"/>
    <w:rsid w:val="DFB7ADE8"/>
    <w:rsid w:val="E57DAC41"/>
    <w:rsid w:val="E7AF1769"/>
    <w:rsid w:val="E86C7C36"/>
    <w:rsid w:val="EBFF5110"/>
    <w:rsid w:val="EDFF6536"/>
    <w:rsid w:val="EFDE1C15"/>
    <w:rsid w:val="F5FAB3E5"/>
    <w:rsid w:val="F6F3D786"/>
    <w:rsid w:val="F73FD475"/>
    <w:rsid w:val="F7BD0146"/>
    <w:rsid w:val="F89A84B8"/>
    <w:rsid w:val="F9796435"/>
    <w:rsid w:val="F9DF37B8"/>
    <w:rsid w:val="FA70B976"/>
    <w:rsid w:val="FAFE4109"/>
    <w:rsid w:val="FBCFF426"/>
    <w:rsid w:val="FBF303E3"/>
    <w:rsid w:val="FBF32178"/>
    <w:rsid w:val="FBFDB1D7"/>
    <w:rsid w:val="FBFEFE4E"/>
    <w:rsid w:val="FCE5E746"/>
    <w:rsid w:val="FCFD517F"/>
    <w:rsid w:val="FD3F879E"/>
    <w:rsid w:val="FD53E318"/>
    <w:rsid w:val="FD57D677"/>
    <w:rsid w:val="FDBE7091"/>
    <w:rsid w:val="FDDEF080"/>
    <w:rsid w:val="FE3631D5"/>
    <w:rsid w:val="FE7EEAF5"/>
    <w:rsid w:val="FEE7AEE7"/>
    <w:rsid w:val="FEEF4349"/>
    <w:rsid w:val="FF2E6AF1"/>
    <w:rsid w:val="FFBBF6C1"/>
    <w:rsid w:val="FFBDDFE2"/>
    <w:rsid w:val="FFDF0669"/>
    <w:rsid w:val="FFEF3032"/>
    <w:rsid w:val="FFF527FA"/>
    <w:rsid w:val="FFF7E6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spacing w:after="240"/>
      <w:outlineLvl w:val="2"/>
    </w:pPr>
    <w:rPr>
      <w:rFonts w:cs="Arial"/>
      <w:sz w:val="24"/>
      <w:szCs w:val="26"/>
    </w:rPr>
  </w:style>
  <w:style w:type="paragraph" w:styleId="5">
    <w:name w:val="heading 4"/>
    <w:basedOn w:val="4"/>
    <w:next w:val="1"/>
    <w:qFormat/>
    <w:uiPriority w:val="0"/>
    <w:pPr>
      <w:spacing w:before="120" w:after="180"/>
      <w:ind w:left="1418" w:hanging="1418"/>
      <w:outlineLvl w:val="3"/>
    </w:pPr>
    <w:rPr>
      <w:rFonts w:cs="Times New Roman"/>
      <w:szCs w:val="20"/>
    </w:rPr>
  </w:style>
  <w:style w:type="paragraph" w:styleId="6">
    <w:name w:val="heading 5"/>
    <w:basedOn w:val="5"/>
    <w:next w:val="1"/>
    <w:qFormat/>
    <w:uiPriority w:val="0"/>
    <w:pPr>
      <w:spacing w:before="280" w:after="290" w:line="376" w:lineRule="auto"/>
      <w:outlineLvl w:val="4"/>
    </w:pPr>
    <w:rPr>
      <w:b/>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54"/>
    <w:qFormat/>
    <w:uiPriority w:val="0"/>
    <w:rPr>
      <w:b/>
      <w:bCs/>
    </w:rPr>
  </w:style>
  <w:style w:type="paragraph" w:styleId="13">
    <w:name w:val="Document Map"/>
    <w:basedOn w:val="1"/>
    <w:semiHidden/>
    <w:qFormat/>
    <w:uiPriority w:val="0"/>
    <w:pPr>
      <w:shd w:val="clear" w:color="auto" w:fill="000080"/>
    </w:pPr>
  </w:style>
  <w:style w:type="paragraph" w:styleId="14">
    <w:name w:val="annotation text"/>
    <w:basedOn w:val="1"/>
    <w:link w:val="56"/>
    <w:semiHidden/>
    <w:qFormat/>
    <w:uiPriority w:val="0"/>
  </w:style>
  <w:style w:type="paragraph" w:styleId="15">
    <w:name w:val="Body Text"/>
    <w:basedOn w:val="1"/>
    <w:qFormat/>
    <w:uiPriority w:val="0"/>
    <w:pPr>
      <w:overflowPunct w:val="0"/>
      <w:autoSpaceDE w:val="0"/>
      <w:autoSpaceDN w:val="0"/>
      <w:adjustRightInd w:val="0"/>
      <w:spacing w:after="120"/>
      <w:textAlignment w:val="baseline"/>
    </w:pPr>
    <w:rPr>
      <w:rFonts w:eastAsia="MS Mincho"/>
    </w:rPr>
  </w:style>
  <w:style w:type="paragraph" w:styleId="16">
    <w:name w:val="List 2"/>
    <w:basedOn w:val="17"/>
    <w:qFormat/>
    <w:uiPriority w:val="0"/>
    <w:pPr>
      <w:tabs>
        <w:tab w:val="left" w:pos="425"/>
      </w:tabs>
      <w:ind w:left="100" w:leftChars="200" w:hanging="200" w:hangingChars="200"/>
    </w:pPr>
  </w:style>
  <w:style w:type="paragraph" w:styleId="17">
    <w:name w:val="List"/>
    <w:basedOn w:val="1"/>
    <w:qFormat/>
    <w:uiPriority w:val="0"/>
    <w:pPr>
      <w:tabs>
        <w:tab w:val="left" w:pos="425"/>
      </w:tabs>
      <w:ind w:left="425" w:hanging="425"/>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5"/>
    <w:basedOn w:val="1"/>
    <w:qFormat/>
    <w:uiPriority w:val="0"/>
    <w:pPr>
      <w:ind w:left="100" w:leftChars="800" w:hanging="200" w:hangingChars="200"/>
    </w:pPr>
  </w:style>
  <w:style w:type="paragraph" w:styleId="22">
    <w:name w:val="List 4"/>
    <w:basedOn w:val="1"/>
    <w:qFormat/>
    <w:uiPriority w:val="0"/>
    <w:pPr>
      <w:ind w:left="100" w:leftChars="600" w:hanging="200" w:hangingChars="2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4"/>
    <w:next w:val="14"/>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yperlink"/>
    <w:qFormat/>
    <w:uiPriority w:val="99"/>
    <w:rPr>
      <w:color w:val="0000FF"/>
      <w:u w:val="single"/>
    </w:rPr>
  </w:style>
  <w:style w:type="character" w:styleId="34">
    <w:name w:val="annotation reference"/>
    <w:semiHidden/>
    <w:qFormat/>
    <w:uiPriority w:val="0"/>
    <w:rPr>
      <w:sz w:val="21"/>
      <w:szCs w:val="21"/>
    </w:r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2"/>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页眉 Char"/>
    <w:link w:val="20"/>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48"/>
    <w:link w:val="46"/>
    <w:qFormat/>
    <w:uiPriority w:val="0"/>
    <w:rPr>
      <w:b/>
    </w:rPr>
  </w:style>
  <w:style w:type="paragraph" w:customStyle="1" w:styleId="48">
    <w:name w:val="TAC"/>
    <w:basedOn w:val="49"/>
    <w:link w:val="64"/>
    <w:qFormat/>
    <w:uiPriority w:val="0"/>
    <w:pPr>
      <w:jc w:val="center"/>
    </w:pPr>
  </w:style>
  <w:style w:type="paragraph" w:customStyle="1" w:styleId="49">
    <w:name w:val="TAL"/>
    <w:basedOn w:val="1"/>
    <w:link w:val="77"/>
    <w:qFormat/>
    <w:uiPriority w:val="0"/>
    <w:pPr>
      <w:keepNext/>
      <w:keepLines/>
      <w:spacing w:after="0"/>
    </w:pPr>
    <w:rPr>
      <w:rFonts w:ascii="Arial" w:hAnsi="Arial" w:eastAsia="宋体"/>
      <w:sz w:val="18"/>
    </w:rPr>
  </w:style>
  <w:style w:type="character" w:customStyle="1" w:styleId="50">
    <w:name w:val="B1 Char1"/>
    <w:link w:val="51"/>
    <w:qFormat/>
    <w:uiPriority w:val="0"/>
    <w:rPr>
      <w:rFonts w:eastAsia="宋体"/>
      <w:lang w:val="en-GB" w:eastAsia="en-US"/>
    </w:rPr>
  </w:style>
  <w:style w:type="paragraph" w:customStyle="1" w:styleId="51">
    <w:name w:val="B1"/>
    <w:basedOn w:val="17"/>
    <w:link w:val="50"/>
    <w:qFormat/>
    <w:uiPriority w:val="0"/>
    <w:pPr>
      <w:ind w:left="568" w:hanging="284"/>
    </w:pPr>
    <w:rPr>
      <w:rFonts w:eastAsia="宋体"/>
    </w:rPr>
  </w:style>
  <w:style w:type="character" w:customStyle="1" w:styleId="52">
    <w:name w:val="Comments Char"/>
    <w:qFormat/>
    <w:uiPriority w:val="0"/>
    <w:rPr>
      <w:rFonts w:ascii="Arial" w:hAnsi="Arial" w:eastAsia="MS Mincho" w:cs="Times New Roman"/>
      <w:i/>
      <w:sz w:val="24"/>
      <w:szCs w:val="24"/>
      <w:lang w:val="en-GB" w:eastAsia="en-GB"/>
    </w:rPr>
  </w:style>
  <w:style w:type="character" w:customStyle="1" w:styleId="53">
    <w:name w:val="Comments"/>
    <w:qFormat/>
    <w:uiPriority w:val="0"/>
    <w:rPr>
      <w:i/>
      <w:iCs/>
      <w:sz w:val="16"/>
    </w:rPr>
  </w:style>
  <w:style w:type="character" w:customStyle="1" w:styleId="54">
    <w:name w:val="题注 Char"/>
    <w:link w:val="12"/>
    <w:qFormat/>
    <w:uiPriority w:val="0"/>
    <w:rPr>
      <w:rFonts w:eastAsia="Times New Roman"/>
      <w:b/>
      <w:bCs/>
      <w:lang w:val="en-GB" w:eastAsia="en-US"/>
    </w:rPr>
  </w:style>
  <w:style w:type="character" w:customStyle="1" w:styleId="55">
    <w:name w:val="highlight"/>
    <w:basedOn w:val="28"/>
    <w:qFormat/>
    <w:uiPriority w:val="0"/>
  </w:style>
  <w:style w:type="character" w:customStyle="1" w:styleId="56">
    <w:name w:val="批注文字 Char"/>
    <w:link w:val="14"/>
    <w:semiHidden/>
    <w:qFormat/>
    <w:uiPriority w:val="0"/>
    <w:rPr>
      <w:rFonts w:eastAsia="Times New Roman"/>
      <w:lang w:val="en-GB" w:eastAsia="en-US"/>
    </w:rPr>
  </w:style>
  <w:style w:type="character" w:customStyle="1" w:styleId="57">
    <w:name w:val="B2 Char"/>
    <w:link w:val="58"/>
    <w:qFormat/>
    <w:uiPriority w:val="0"/>
    <w:rPr>
      <w:rFonts w:eastAsia="宋体"/>
      <w:lang w:val="en-GB" w:eastAsia="en-US" w:bidi="ar-SA"/>
    </w:rPr>
  </w:style>
  <w:style w:type="paragraph" w:customStyle="1" w:styleId="58">
    <w:name w:val="B2"/>
    <w:basedOn w:val="16"/>
    <w:link w:val="57"/>
    <w:qFormat/>
    <w:uiPriority w:val="0"/>
    <w:pPr>
      <w:ind w:left="851" w:leftChars="0" w:hanging="284" w:firstLineChars="0"/>
    </w:pPr>
    <w:rPr>
      <w:rFonts w:eastAsia="宋体"/>
    </w:rPr>
  </w:style>
  <w:style w:type="character" w:customStyle="1" w:styleId="59">
    <w:name w:val="List Paragraph Char"/>
    <w:link w:val="60"/>
    <w:qFormat/>
    <w:uiPriority w:val="34"/>
    <w:rPr>
      <w:rFonts w:eastAsia="Times New Roman"/>
      <w:lang w:val="en-GB" w:eastAsia="en-US"/>
    </w:rPr>
  </w:style>
  <w:style w:type="paragraph" w:customStyle="1" w:styleId="60">
    <w:name w:val="List Paragraph1"/>
    <w:basedOn w:val="1"/>
    <w:link w:val="59"/>
    <w:qFormat/>
    <w:uiPriority w:val="34"/>
    <w:pPr>
      <w:ind w:left="720"/>
      <w:contextualSpacing/>
    </w:pPr>
  </w:style>
  <w:style w:type="character" w:customStyle="1" w:styleId="61">
    <w:name w:val="short_text"/>
    <w:basedOn w:val="28"/>
    <w:qFormat/>
    <w:uiPriority w:val="0"/>
  </w:style>
  <w:style w:type="character" w:customStyle="1" w:styleId="62">
    <w:name w:val="B3 Char"/>
    <w:qFormat/>
    <w:uiPriority w:val="0"/>
    <w:rPr>
      <w:lang w:val="en-GB" w:eastAsia="ja-JP" w:bidi="ar-SA"/>
    </w:rPr>
  </w:style>
  <w:style w:type="character" w:customStyle="1" w:styleId="63">
    <w:name w:val="def"/>
    <w:basedOn w:val="28"/>
    <w:qFormat/>
    <w:uiPriority w:val="0"/>
  </w:style>
  <w:style w:type="character" w:customStyle="1" w:styleId="64">
    <w:name w:val="TAC Char"/>
    <w:link w:val="48"/>
    <w:qFormat/>
    <w:uiPriority w:val="0"/>
    <w:rPr>
      <w:rFonts w:ascii="Arial" w:hAnsi="Arial" w:eastAsia="宋体"/>
      <w:sz w:val="18"/>
      <w:lang w:val="en-GB" w:eastAsia="en-US"/>
    </w:rPr>
  </w:style>
  <w:style w:type="character" w:customStyle="1" w:styleId="65">
    <w:name w:val="标题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49"/>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8"/>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49"/>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71"/>
    <w:link w:val="81"/>
    <w:qFormat/>
    <w:uiPriority w:val="0"/>
    <w:rPr>
      <w:rFonts w:eastAsia="MS Mincho"/>
      <w:color w:val="FF0000"/>
    </w:rPr>
  </w:style>
  <w:style w:type="character" w:customStyle="1" w:styleId="83">
    <w:name w:val="apple-converted-space"/>
    <w:basedOn w:val="28"/>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3"/>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5"/>
    <w:qFormat/>
    <w:uiPriority w:val="0"/>
    <w:pPr>
      <w:widowControl w:val="0"/>
      <w:numPr>
        <w:ilvl w:val="0"/>
        <w:numId w:val="5"/>
      </w:numPr>
      <w:spacing w:after="0"/>
      <w:jc w:val="both"/>
    </w:pPr>
    <w:rPr>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5"/>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5"/>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1"/>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styleId="125">
    <w:name w:val="List Paragraph"/>
    <w:basedOn w:val="1"/>
    <w:qFormat/>
    <w:uiPriority w:val="34"/>
    <w:pPr>
      <w:spacing w:after="0"/>
      <w:ind w:left="720"/>
      <w:contextualSpacing/>
    </w:pPr>
    <w:rPr>
      <w:sz w:val="24"/>
      <w:szCs w:val="24"/>
      <w:lang w:val="fi-FI" w:eastAsia="zh-CN"/>
    </w:rPr>
  </w:style>
  <w:style w:type="paragraph" w:customStyle="1" w:styleId="126">
    <w:name w:val="Agreement"/>
    <w:basedOn w:val="1"/>
    <w:next w:val="38"/>
    <w:qFormat/>
    <w:uiPriority w:val="0"/>
    <w:pPr>
      <w:numPr>
        <w:ilvl w:val="0"/>
        <w:numId w:val="9"/>
      </w:numPr>
      <w:spacing w:before="60" w:after="0"/>
    </w:pPr>
    <w:rPr>
      <w:rFonts w:eastAsia="MS Mincho"/>
      <w:b/>
      <w:szCs w:val="24"/>
      <w:lang w:eastAsia="en-GB"/>
    </w:rPr>
  </w:style>
  <w:style w:type="paragraph" w:customStyle="1" w:styleId="127">
    <w:name w:val="00 BodyText"/>
    <w:basedOn w:val="1"/>
    <w:qFormat/>
    <w:uiPriority w:val="0"/>
    <w:pPr>
      <w:spacing w:after="220"/>
    </w:pPr>
    <w:rPr>
      <w:rFonts w:ascii="Arial" w:hAnsi="Arial" w:eastAsia="宋体"/>
      <w:szCs w:val="24"/>
    </w:rPr>
  </w:style>
  <w:style w:type="paragraph" w:customStyle="1" w:styleId="128">
    <w:name w:val="Patent"/>
    <w:basedOn w:val="129"/>
    <w:qFormat/>
    <w:uiPriority w:val="0"/>
    <w:pPr>
      <w:numPr>
        <w:ilvl w:val="0"/>
        <w:numId w:val="10"/>
      </w:numPr>
      <w:textAlignment w:val="auto"/>
    </w:pPr>
  </w:style>
  <w:style w:type="paragraph" w:customStyle="1" w:styleId="129">
    <w:name w:val="Pat Appl"/>
    <w:basedOn w:val="130"/>
    <w:qFormat/>
    <w:uiPriority w:val="0"/>
    <w:pPr>
      <w:tabs>
        <w:tab w:val="left" w:pos="1080"/>
      </w:tabs>
      <w:spacing w:line="360" w:lineRule="auto"/>
    </w:pPr>
    <w:rPr>
      <w:rFonts w:ascii="Times New Roman" w:hAnsi="Times New Roman"/>
      <w:szCs w:val="24"/>
    </w:rPr>
  </w:style>
  <w:style w:type="paragraph" w:customStyle="1" w:styleId="130">
    <w:name w:val="New Paragraph Style"/>
    <w:basedOn w:val="1"/>
    <w:qFormat/>
    <w:uiPriority w:val="0"/>
    <w:pPr>
      <w:tabs>
        <w:tab w:val="left" w:pos="1080"/>
      </w:tabs>
      <w:adjustRightInd w:val="0"/>
      <w:spacing w:line="480" w:lineRule="auto"/>
      <w:textAlignment w:val="baseline"/>
    </w:pPr>
    <w:rPr>
      <w:rFonts w:ascii="Courier New" w:hAnsi="Courier New"/>
      <w:bCs/>
    </w:rPr>
  </w:style>
  <w:style w:type="paragraph" w:customStyle="1" w:styleId="131">
    <w:name w:val="b110"/>
    <w:basedOn w:val="1"/>
    <w:qFormat/>
    <w:uiPriority w:val="0"/>
    <w:pPr>
      <w:spacing w:before="75" w:after="75"/>
    </w:pPr>
    <w:rPr>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6.wmf"/><Relationship Id="rId16" Type="http://schemas.openxmlformats.org/officeDocument/2006/relationships/oleObject" Target="embeddings/oleObject6.bin"/><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8</Pages>
  <Words>3044</Words>
  <Characters>17355</Characters>
  <Lines>144</Lines>
  <Paragraphs>40</Paragraphs>
  <TotalTime>489</TotalTime>
  <ScaleCrop>false</ScaleCrop>
  <LinksUpToDate>false</LinksUpToDate>
  <CharactersWithSpaces>20359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2021-08-12T20:30:00Z</dcterms:created>
  <dc:creator>ZTE</dc:creator>
  <cp:lastModifiedBy>ZTE-Yang Ling</cp:lastModifiedBy>
  <cp:lastPrinted>2018-02-25T07:29:00Z</cp:lastPrinted>
  <dcterms:modified xsi:type="dcterms:W3CDTF">2022-01-11T07:41:43Z</dcterms:modified>
  <dc:title>3GPP TSG RAN WG1 #102-e	R1-20xxxxx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